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E45B5C" w:rsidRDefault="00E27BC1" w:rsidP="007344F8">
      <w:pPr>
        <w:pStyle w:val="21"/>
        <w:shd w:val="clear" w:color="auto" w:fill="FFFFFF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E45B5C">
        <w:rPr>
          <w:color w:val="000000"/>
          <w:bdr w:val="none" w:sz="0" w:space="0" w:color="auto" w:frame="1"/>
        </w:rPr>
        <w:t xml:space="preserve">надання послуг 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з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розробки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1C3169" w:rsidRPr="001C3169"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 w:rsidR="001C3169" w:rsidRPr="001C3169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1C3169" w:rsidRPr="001C3169">
        <w:rPr>
          <w:color w:val="000000"/>
          <w:bdr w:val="none" w:sz="0" w:space="0" w:color="auto" w:frame="1"/>
          <w:lang w:val="ru-RU"/>
        </w:rPr>
        <w:t>акселерації</w:t>
      </w:r>
      <w:proofErr w:type="spellEnd"/>
      <w:r w:rsidR="001C3169">
        <w:rPr>
          <w:color w:val="000000"/>
          <w:bdr w:val="none" w:sz="0" w:space="0" w:color="auto" w:frame="1"/>
          <w:lang w:val="ru-RU"/>
        </w:rPr>
        <w:t xml:space="preserve"> </w:t>
      </w:r>
      <w:bookmarkStart w:id="0" w:name="_GoBack"/>
      <w:bookmarkEnd w:id="0"/>
      <w:r w:rsidR="00E45B5C" w:rsidRPr="00E45B5C">
        <w:rPr>
          <w:color w:val="000000"/>
          <w:bdr w:val="none" w:sz="0" w:space="0" w:color="auto" w:frame="1"/>
          <w:lang w:val="ru-RU"/>
        </w:rPr>
        <w:t>в рамках проекту "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Інкубатор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з запуску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бізнесу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сфері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аквакультури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(AQUABATOR)»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>:  Галицинівськ</w:t>
      </w:r>
      <w:r w:rsidRPr="00123618">
        <w:rPr>
          <w:color w:val="000000"/>
          <w:bdr w:val="none" w:sz="0" w:space="0" w:color="auto" w:frame="1"/>
        </w:rPr>
        <w:t>а</w:t>
      </w:r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41481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14811">
        <w:rPr>
          <w:b/>
          <w:color w:val="000000"/>
          <w:bdr w:val="none" w:sz="0" w:space="0" w:color="auto" w:frame="1"/>
        </w:rPr>
        <w:t>Вид процедури</w:t>
      </w:r>
      <w:r w:rsidRPr="00414811">
        <w:rPr>
          <w:color w:val="000000"/>
          <w:bdr w:val="none" w:sz="0" w:space="0" w:color="auto" w:frame="1"/>
        </w:rPr>
        <w:t>: </w:t>
      </w:r>
      <w:r w:rsidR="00BC7354">
        <w:rPr>
          <w:color w:val="000000"/>
          <w:bdr w:val="none" w:sz="0" w:space="0" w:color="auto" w:frame="1"/>
        </w:rPr>
        <w:t>спрощена закупівля</w:t>
      </w:r>
      <w:r w:rsidR="00956537" w:rsidRPr="00414811">
        <w:rPr>
          <w:color w:val="000000"/>
          <w:bdr w:val="none" w:sz="0" w:space="0" w:color="auto" w:frame="1"/>
          <w:lang w:val="ru-RU"/>
        </w:rPr>
        <w:t>.</w:t>
      </w:r>
    </w:p>
    <w:p w:rsidR="008D7E5E" w:rsidRPr="00414811" w:rsidRDefault="00E27BC1" w:rsidP="007344F8">
      <w:pPr>
        <w:pStyle w:val="31"/>
        <w:shd w:val="clear" w:color="auto" w:fill="FFFFFF"/>
        <w:spacing w:before="0" w:beforeAutospacing="0" w:after="0" w:afterAutospacing="0"/>
        <w:jc w:val="both"/>
      </w:pPr>
      <w:r w:rsidRPr="00414811">
        <w:rPr>
          <w:color w:val="000000"/>
        </w:rPr>
        <w:t> </w:t>
      </w:r>
      <w:r w:rsidR="00123618" w:rsidRPr="00414811">
        <w:rPr>
          <w:color w:val="000000"/>
        </w:rPr>
        <w:tab/>
      </w:r>
      <w:r w:rsidR="008D7E5E" w:rsidRPr="00414811">
        <w:rPr>
          <w:b/>
        </w:rPr>
        <w:t>Дата оголошення:</w:t>
      </w:r>
      <w:r w:rsidR="008D7E5E" w:rsidRPr="00414811">
        <w:t xml:space="preserve"> </w:t>
      </w:r>
      <w:r w:rsidR="00BC7354">
        <w:t>03 листопада</w:t>
      </w:r>
      <w:r w:rsidR="008D7E5E" w:rsidRPr="00414811">
        <w:t xml:space="preserve"> 2021 року.</w:t>
      </w:r>
    </w:p>
    <w:p w:rsidR="00A1454B" w:rsidRPr="0003032A" w:rsidRDefault="00A1454B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</w:rPr>
      </w:pPr>
      <w:r w:rsidRPr="00414811">
        <w:rPr>
          <w:b/>
          <w:color w:val="000000"/>
          <w:bdr w:val="none" w:sz="0" w:space="0" w:color="auto" w:frame="1"/>
        </w:rPr>
        <w:t>Ідентифікатор закупівлі:</w:t>
      </w:r>
      <w:r w:rsidR="00414811" w:rsidRPr="00414811">
        <w:t xml:space="preserve"> </w:t>
      </w:r>
      <w:r w:rsidR="00A90A05" w:rsidRPr="00A90A05">
        <w:t>UA-2021-11-03-014017-a</w:t>
      </w:r>
      <w:r w:rsidR="00A90A05">
        <w:t xml:space="preserve">. </w:t>
      </w:r>
    </w:p>
    <w:p w:rsidR="00A90A05" w:rsidRPr="00A90A05" w:rsidRDefault="00E27BC1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A90A05" w:rsidRPr="00A90A05">
        <w:rPr>
          <w:color w:val="000000"/>
          <w:bdr w:val="none" w:sz="0" w:space="0" w:color="auto" w:frame="1"/>
        </w:rPr>
        <w:t>«Послуги з розробки програми акселерації» в рамках проєкту «Інкубатор з запуску бізнесу у сфері аквакультури (AQUABATOR)»/</w:t>
      </w:r>
    </w:p>
    <w:p w:rsidR="00E27BC1" w:rsidRDefault="0051376B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 xml:space="preserve">Код </w:t>
      </w:r>
      <w:r w:rsidR="00E45B5C" w:rsidRPr="00E45B5C">
        <w:rPr>
          <w:b/>
          <w:color w:val="000000"/>
          <w:bdr w:val="none" w:sz="0" w:space="0" w:color="auto" w:frame="1"/>
        </w:rPr>
        <w:t xml:space="preserve">ДК </w:t>
      </w:r>
      <w:r w:rsidR="00E45B5C" w:rsidRPr="00E45B5C">
        <w:rPr>
          <w:color w:val="000000"/>
          <w:bdr w:val="none" w:sz="0" w:space="0" w:color="auto" w:frame="1"/>
        </w:rPr>
        <w:t>021:2015:</w:t>
      </w:r>
      <w:r w:rsidR="00CB1C49">
        <w:rPr>
          <w:color w:val="000000"/>
          <w:bdr w:val="none" w:sz="0" w:space="0" w:color="auto" w:frame="1"/>
        </w:rPr>
        <w:t xml:space="preserve">  </w:t>
      </w:r>
      <w:r w:rsidR="00CB1C49" w:rsidRPr="00CB1C49">
        <w:rPr>
          <w:color w:val="000000"/>
          <w:bdr w:val="none" w:sz="0" w:space="0" w:color="auto" w:frame="1"/>
        </w:rPr>
        <w:t>ДК 021:2015:</w:t>
      </w:r>
      <w:r w:rsidR="00A90A05" w:rsidRPr="00A90A05">
        <w:t xml:space="preserve"> </w:t>
      </w:r>
      <w:r w:rsidR="00A90A05" w:rsidRPr="00A90A05">
        <w:rPr>
          <w:color w:val="000000"/>
          <w:bdr w:val="none" w:sz="0" w:space="0" w:color="auto" w:frame="1"/>
        </w:rPr>
        <w:t>80530000-8 Послуги у сфері професійної підготовки</w:t>
      </w:r>
      <w:r w:rsidR="00A90A05">
        <w:rPr>
          <w:color w:val="000000"/>
          <w:bdr w:val="none" w:sz="0" w:space="0" w:color="auto" w:frame="1"/>
        </w:rPr>
        <w:t xml:space="preserve">. </w:t>
      </w:r>
      <w:r w:rsidR="00CB1C49" w:rsidRPr="00CB1C49">
        <w:rPr>
          <w:color w:val="000000"/>
          <w:bdr w:val="none" w:sz="0" w:space="0" w:color="auto" w:frame="1"/>
        </w:rPr>
        <w:t xml:space="preserve"> </w:t>
      </w:r>
    </w:p>
    <w:p w:rsid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 xml:space="preserve"> Загальні вимоги: 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Програма акселерації бізнесу у сфері аквакультур, а саме, створення </w:t>
      </w:r>
      <w:proofErr w:type="spellStart"/>
      <w:r w:rsidRPr="00A90A05">
        <w:rPr>
          <w:color w:val="000000"/>
          <w:bdr w:val="none" w:sz="0" w:space="0" w:color="auto" w:frame="1"/>
        </w:rPr>
        <w:t>акваферм</w:t>
      </w:r>
      <w:proofErr w:type="spellEnd"/>
      <w:r w:rsidRPr="00A90A05">
        <w:rPr>
          <w:color w:val="000000"/>
          <w:bdr w:val="none" w:sz="0" w:space="0" w:color="auto" w:frame="1"/>
        </w:rPr>
        <w:t xml:space="preserve">, терміном на 1 рік з навчальними модулями та суттєвим консультаційним та інформаційним супроводом. 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• Програма акселерації – програма підтримки відібраних за результатами конкурсу підприємців-випускників навчальної програми для починаючих та діючих підприємців, які планують створити </w:t>
      </w:r>
      <w:proofErr w:type="spellStart"/>
      <w:r w:rsidRPr="00A90A05">
        <w:rPr>
          <w:color w:val="000000"/>
          <w:bdr w:val="none" w:sz="0" w:space="0" w:color="auto" w:frame="1"/>
        </w:rPr>
        <w:t>акваферми</w:t>
      </w:r>
      <w:proofErr w:type="spellEnd"/>
      <w:r w:rsidRPr="00A90A05">
        <w:rPr>
          <w:color w:val="000000"/>
          <w:bdr w:val="none" w:sz="0" w:space="0" w:color="auto" w:frame="1"/>
        </w:rPr>
        <w:t xml:space="preserve">, що передбачає доступ учасників до послуг інкубатору, а також подальший інформаційний та консультаційний супровід. 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• Учасники програми акселерації – підприємці (діючі та починаючі), що планують відкрити </w:t>
      </w:r>
      <w:proofErr w:type="spellStart"/>
      <w:r w:rsidRPr="00A90A05">
        <w:rPr>
          <w:color w:val="000000"/>
          <w:bdr w:val="none" w:sz="0" w:space="0" w:color="auto" w:frame="1"/>
        </w:rPr>
        <w:t>акваферми</w:t>
      </w:r>
      <w:proofErr w:type="spellEnd"/>
      <w:r w:rsidRPr="00A90A05">
        <w:rPr>
          <w:color w:val="000000"/>
          <w:bdr w:val="none" w:sz="0" w:space="0" w:color="auto" w:frame="1"/>
        </w:rPr>
        <w:t>, відібрані за результатами конкурсу для участі у програмі акселерації.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• </w:t>
      </w:r>
      <w:proofErr w:type="spellStart"/>
      <w:r w:rsidRPr="00A90A05">
        <w:rPr>
          <w:color w:val="000000"/>
          <w:bdr w:val="none" w:sz="0" w:space="0" w:color="auto" w:frame="1"/>
        </w:rPr>
        <w:t>Акваферма</w:t>
      </w:r>
      <w:proofErr w:type="spellEnd"/>
      <w:r w:rsidRPr="00A90A05">
        <w:rPr>
          <w:color w:val="000000"/>
          <w:bdr w:val="none" w:sz="0" w:space="0" w:color="auto" w:frame="1"/>
        </w:rPr>
        <w:t xml:space="preserve"> – бізнес (бізнес-проект), започаткований на базі суб’єктів господарювання (юридичних осіб або фізичних осіб – підприємців), а також неформальною групою осіб чи окремою особою, що передбачає підприємницьку діяльність (КВЕД-2010: Клас 03.22 Прісноводне рибництво (аквакультура).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Метою Акселератора є сприяння реалізації бізнес-ідей, становленню та розвитку </w:t>
      </w:r>
      <w:proofErr w:type="spellStart"/>
      <w:r w:rsidRPr="00A90A05">
        <w:rPr>
          <w:color w:val="000000"/>
          <w:bdr w:val="none" w:sz="0" w:space="0" w:color="auto" w:frame="1"/>
        </w:rPr>
        <w:t>аквафермерм</w:t>
      </w:r>
      <w:proofErr w:type="spellEnd"/>
      <w:r w:rsidRPr="00A90A05">
        <w:rPr>
          <w:color w:val="000000"/>
          <w:bdr w:val="none" w:sz="0" w:space="0" w:color="auto" w:frame="1"/>
        </w:rPr>
        <w:t xml:space="preserve"> в </w:t>
      </w:r>
      <w:proofErr w:type="spellStart"/>
      <w:r w:rsidRPr="00A90A05">
        <w:rPr>
          <w:color w:val="000000"/>
          <w:bdr w:val="none" w:sz="0" w:space="0" w:color="auto" w:frame="1"/>
        </w:rPr>
        <w:t>Миколаїській</w:t>
      </w:r>
      <w:proofErr w:type="spellEnd"/>
      <w:r w:rsidRPr="00A90A05">
        <w:rPr>
          <w:color w:val="000000"/>
          <w:bdr w:val="none" w:sz="0" w:space="0" w:color="auto" w:frame="1"/>
        </w:rPr>
        <w:t xml:space="preserve"> області, підвищення кваліфікації, формування нових навичок та розбудова </w:t>
      </w:r>
      <w:proofErr w:type="spellStart"/>
      <w:r w:rsidRPr="00A90A05">
        <w:rPr>
          <w:color w:val="000000"/>
          <w:bdr w:val="none" w:sz="0" w:space="0" w:color="auto" w:frame="1"/>
        </w:rPr>
        <w:t>зв’язків</w:t>
      </w:r>
      <w:proofErr w:type="spellEnd"/>
      <w:r w:rsidRPr="00A90A05">
        <w:rPr>
          <w:color w:val="000000"/>
          <w:bdr w:val="none" w:sz="0" w:space="0" w:color="auto" w:frame="1"/>
        </w:rPr>
        <w:t xml:space="preserve"> у галузі </w:t>
      </w:r>
      <w:proofErr w:type="spellStart"/>
      <w:r w:rsidRPr="00A90A05">
        <w:rPr>
          <w:color w:val="000000"/>
          <w:bdr w:val="none" w:sz="0" w:space="0" w:color="auto" w:frame="1"/>
        </w:rPr>
        <w:t>аквафермерства</w:t>
      </w:r>
      <w:proofErr w:type="spellEnd"/>
      <w:r w:rsidRPr="00A90A05">
        <w:rPr>
          <w:color w:val="000000"/>
          <w:bdr w:val="none" w:sz="0" w:space="0" w:color="auto" w:frame="1"/>
        </w:rPr>
        <w:t>.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>Завданнями Акселератора є: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• посилити спроможність підприємців та осіб, бажаючих створити бізнес у сфері </w:t>
      </w:r>
      <w:proofErr w:type="spellStart"/>
      <w:r w:rsidRPr="00A90A05">
        <w:rPr>
          <w:color w:val="000000"/>
          <w:bdr w:val="none" w:sz="0" w:space="0" w:color="auto" w:frame="1"/>
        </w:rPr>
        <w:t>аквафермерства</w:t>
      </w:r>
      <w:proofErr w:type="spellEnd"/>
      <w:r w:rsidRPr="00A90A05">
        <w:rPr>
          <w:color w:val="000000"/>
          <w:bdr w:val="none" w:sz="0" w:space="0" w:color="auto" w:frame="1"/>
        </w:rPr>
        <w:t>, успішно провадити бізнес та реалізовувати власні бізнес-ідеї;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• створити передумови для </w:t>
      </w:r>
      <w:proofErr w:type="spellStart"/>
      <w:r w:rsidRPr="00A90A05">
        <w:rPr>
          <w:color w:val="000000"/>
          <w:bdr w:val="none" w:sz="0" w:space="0" w:color="auto" w:frame="1"/>
        </w:rPr>
        <w:t>мережування</w:t>
      </w:r>
      <w:proofErr w:type="spellEnd"/>
      <w:r w:rsidRPr="00A90A05">
        <w:rPr>
          <w:color w:val="000000"/>
          <w:bdr w:val="none" w:sz="0" w:space="0" w:color="auto" w:frame="1"/>
        </w:rPr>
        <w:t xml:space="preserve"> та партнерства підприємців у сфері </w:t>
      </w:r>
      <w:proofErr w:type="spellStart"/>
      <w:r w:rsidRPr="00A90A05">
        <w:rPr>
          <w:color w:val="000000"/>
          <w:bdr w:val="none" w:sz="0" w:space="0" w:color="auto" w:frame="1"/>
        </w:rPr>
        <w:t>аквафермерства</w:t>
      </w:r>
      <w:proofErr w:type="spellEnd"/>
      <w:r w:rsidRPr="00A90A05">
        <w:rPr>
          <w:color w:val="000000"/>
          <w:bdr w:val="none" w:sz="0" w:space="0" w:color="auto" w:frame="1"/>
        </w:rPr>
        <w:t>;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• сприяти розвитку </w:t>
      </w:r>
      <w:proofErr w:type="spellStart"/>
      <w:r w:rsidRPr="00A90A05">
        <w:rPr>
          <w:color w:val="000000"/>
          <w:bdr w:val="none" w:sz="0" w:space="0" w:color="auto" w:frame="1"/>
        </w:rPr>
        <w:t>аквафармінгу</w:t>
      </w:r>
      <w:proofErr w:type="spellEnd"/>
      <w:r w:rsidRPr="00A90A05">
        <w:rPr>
          <w:color w:val="000000"/>
          <w:bdr w:val="none" w:sz="0" w:space="0" w:color="auto" w:frame="1"/>
        </w:rPr>
        <w:t xml:space="preserve"> у Миколаївській області.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Тривалість програми акселерації - 1 рік. </w:t>
      </w:r>
    </w:p>
    <w:p w:rsid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Користувачі - бізнес-консультанти в галузі </w:t>
      </w:r>
      <w:proofErr w:type="spellStart"/>
      <w:r w:rsidRPr="00A90A05">
        <w:rPr>
          <w:color w:val="000000"/>
          <w:bdr w:val="none" w:sz="0" w:space="0" w:color="auto" w:frame="1"/>
        </w:rPr>
        <w:t>аквафермерства</w:t>
      </w:r>
      <w:proofErr w:type="spellEnd"/>
      <w:r w:rsidRPr="00A90A05">
        <w:rPr>
          <w:color w:val="000000"/>
          <w:bdr w:val="none" w:sz="0" w:space="0" w:color="auto" w:frame="1"/>
        </w:rPr>
        <w:t>, а також менеджери проєкту AQUABATOR.</w:t>
      </w:r>
    </w:p>
    <w:p w:rsidR="00A90A05" w:rsidRDefault="00A90A05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</w:p>
    <w:p w:rsidR="00A90A05" w:rsidRDefault="00A90A05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>
        <w:rPr>
          <w:color w:val="000000"/>
          <w:bdr w:val="none" w:sz="0" w:space="0" w:color="auto" w:frame="1"/>
          <w:lang w:val="ru-RU"/>
        </w:rPr>
        <w:t>даним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>
        <w:rPr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r w:rsidR="00E45B5C" w:rsidRPr="00E45B5C">
        <w:rPr>
          <w:color w:val="000000"/>
          <w:bdr w:val="none" w:sz="0" w:space="0" w:color="auto" w:frame="1"/>
          <w:lang w:val="ru-RU"/>
        </w:rPr>
        <w:t>Галицинівсько</w:t>
      </w:r>
      <w:r w:rsidR="00E45B5C">
        <w:rPr>
          <w:color w:val="000000"/>
          <w:bdr w:val="none" w:sz="0" w:space="0" w:color="auto" w:frame="1"/>
          <w:lang w:val="ru-RU"/>
        </w:rPr>
        <w:t>ю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сільсько</w:t>
      </w:r>
      <w:r w:rsidR="00E45B5C">
        <w:rPr>
          <w:color w:val="000000"/>
          <w:bdr w:val="none" w:sz="0" w:space="0" w:color="auto" w:frame="1"/>
          <w:lang w:val="ru-RU"/>
        </w:rPr>
        <w:t>ю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рад</w:t>
      </w:r>
      <w:r w:rsidR="00E45B5C">
        <w:rPr>
          <w:color w:val="000000"/>
          <w:bdr w:val="none" w:sz="0" w:space="0" w:color="auto" w:frame="1"/>
          <w:lang w:val="ru-RU"/>
        </w:rPr>
        <w:t>ою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не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</w:t>
      </w:r>
      <w:r w:rsidR="00E45B5C">
        <w:rPr>
          <w:color w:val="000000"/>
          <w:bdr w:val="none" w:sz="0" w:space="0" w:color="auto" w:frame="1"/>
          <w:lang w:val="ru-RU"/>
        </w:rPr>
        <w:t>лись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314C9">
        <w:rPr>
          <w:color w:val="000000"/>
        </w:rPr>
        <w:lastRenderedPageBreak/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proofErr w:type="gram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</w:t>
      </w:r>
      <w:r>
        <w:rPr>
          <w:color w:val="000000"/>
        </w:rPr>
        <w:t xml:space="preserve">«ПРОЗОРРО» не </w:t>
      </w:r>
      <w:proofErr w:type="spellStart"/>
      <w:r w:rsidRPr="000F381F">
        <w:rPr>
          <w:color w:val="000000"/>
        </w:rPr>
        <w:t>застосовувався</w:t>
      </w:r>
      <w:proofErr w:type="spellEnd"/>
      <w:r w:rsidRPr="000F3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відсутністю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подібних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об'ємом</w:t>
      </w:r>
      <w:proofErr w:type="spellEnd"/>
      <w:r>
        <w:rPr>
          <w:color w:val="000000"/>
        </w:rPr>
        <w:t xml:space="preserve">, </w:t>
      </w:r>
      <w:r w:rsidR="00685DEA">
        <w:rPr>
          <w:color w:val="000000"/>
          <w:lang w:val="uk-UA"/>
        </w:rPr>
        <w:t>та переліком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плануємих</w:t>
      </w:r>
      <w:proofErr w:type="spellEnd"/>
      <w:r>
        <w:rPr>
          <w:color w:val="000000"/>
        </w:rPr>
        <w:t xml:space="preserve"> </w:t>
      </w:r>
      <w:r w:rsidR="00E45B5C">
        <w:rPr>
          <w:color w:val="000000"/>
          <w:lang w:val="uk-UA"/>
        </w:rPr>
        <w:t>послуг</w:t>
      </w:r>
      <w:r>
        <w:rPr>
          <w:color w:val="000000"/>
        </w:rPr>
        <w:t xml:space="preserve">, </w:t>
      </w:r>
      <w:r w:rsidR="00685DEA">
        <w:rPr>
          <w:color w:val="000000"/>
          <w:lang w:val="uk-UA"/>
        </w:rPr>
        <w:t>застосованих технологій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</w:t>
      </w:r>
      <w:proofErr w:type="spellEnd"/>
      <w:r>
        <w:rPr>
          <w:color w:val="000000"/>
        </w:rPr>
        <w:t xml:space="preserve">.  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45B5C" w:rsidRDefault="00381012" w:rsidP="00D7154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договору </w:t>
      </w:r>
      <w:proofErr w:type="spellStart"/>
      <w:r>
        <w:rPr>
          <w:color w:val="000000"/>
          <w:bdr w:val="none" w:sz="0" w:space="0" w:color="auto" w:frame="1"/>
          <w:lang w:val="ru-RU"/>
        </w:rPr>
        <w:t>від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06.08.2021 №36-294/2021 про </w:t>
      </w:r>
      <w:proofErr w:type="spellStart"/>
      <w:r>
        <w:rPr>
          <w:color w:val="000000"/>
          <w:bdr w:val="none" w:sz="0" w:space="0" w:color="auto" w:frame="1"/>
          <w:lang w:val="ru-RU"/>
        </w:rPr>
        <w:t>делегування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повноважень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>
        <w:rPr>
          <w:color w:val="000000"/>
          <w:bdr w:val="none" w:sz="0" w:space="0" w:color="auto" w:frame="1"/>
          <w:lang w:val="ru-RU"/>
        </w:rPr>
        <w:t>використання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бюджетної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КПКВК 2751270 «</w:t>
      </w:r>
      <w:proofErr w:type="spellStart"/>
      <w:r>
        <w:rPr>
          <w:color w:val="000000"/>
          <w:bdr w:val="none" w:sz="0" w:space="0" w:color="auto" w:frame="1"/>
          <w:lang w:val="ru-RU"/>
        </w:rPr>
        <w:t>Підтримка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регіональної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політики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України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» на </w:t>
      </w:r>
      <w:proofErr w:type="spellStart"/>
      <w:r>
        <w:rPr>
          <w:color w:val="000000"/>
          <w:bdr w:val="none" w:sz="0" w:space="0" w:color="auto" w:frame="1"/>
          <w:lang w:val="ru-RU"/>
        </w:rPr>
        <w:t>Міністерством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розвитку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громад та </w:t>
      </w:r>
      <w:proofErr w:type="spellStart"/>
      <w:r>
        <w:rPr>
          <w:color w:val="000000"/>
          <w:bdr w:val="none" w:sz="0" w:space="0" w:color="auto" w:frame="1"/>
          <w:lang w:val="ru-RU"/>
        </w:rPr>
        <w:t>територій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України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ru-RU"/>
        </w:rPr>
        <w:t>виконавчим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комітетом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Миколаївської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міської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ради та </w:t>
      </w:r>
      <w:r w:rsidRPr="00381012">
        <w:rPr>
          <w:color w:val="000000"/>
          <w:bdr w:val="none" w:sz="0" w:space="0" w:color="auto" w:frame="1"/>
          <w:lang w:val="ru-RU"/>
        </w:rPr>
        <w:t>Галицинівсько</w:t>
      </w:r>
      <w:r>
        <w:rPr>
          <w:color w:val="000000"/>
          <w:bdr w:val="none" w:sz="0" w:space="0" w:color="auto" w:frame="1"/>
          <w:lang w:val="ru-RU"/>
        </w:rPr>
        <w:t>ю</w:t>
      </w:r>
      <w:r w:rsidRPr="00381012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81012">
        <w:rPr>
          <w:color w:val="000000"/>
          <w:bdr w:val="none" w:sz="0" w:space="0" w:color="auto" w:frame="1"/>
          <w:lang w:val="ru-RU"/>
        </w:rPr>
        <w:t>сільсько</w:t>
      </w:r>
      <w:r>
        <w:rPr>
          <w:color w:val="000000"/>
          <w:bdr w:val="none" w:sz="0" w:space="0" w:color="auto" w:frame="1"/>
          <w:lang w:val="ru-RU"/>
        </w:rPr>
        <w:t>ю</w:t>
      </w:r>
      <w:proofErr w:type="spellEnd"/>
      <w:r w:rsidRPr="00381012">
        <w:rPr>
          <w:color w:val="000000"/>
          <w:bdr w:val="none" w:sz="0" w:space="0" w:color="auto" w:frame="1"/>
          <w:lang w:val="ru-RU"/>
        </w:rPr>
        <w:t xml:space="preserve"> рад</w:t>
      </w:r>
      <w:r>
        <w:rPr>
          <w:color w:val="000000"/>
          <w:bdr w:val="none" w:sz="0" w:space="0" w:color="auto" w:frame="1"/>
          <w:lang w:val="ru-RU"/>
        </w:rPr>
        <w:t xml:space="preserve">ою </w:t>
      </w:r>
      <w:proofErr w:type="spellStart"/>
      <w:r>
        <w:rPr>
          <w:color w:val="000000"/>
          <w:bdr w:val="none" w:sz="0" w:space="0" w:color="auto" w:frame="1"/>
          <w:lang w:val="ru-RU"/>
        </w:rPr>
        <w:t>останній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ru-RU"/>
        </w:rPr>
        <w:t>виділено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 </w:t>
      </w:r>
      <w:r w:rsidR="009F54DA">
        <w:rPr>
          <w:color w:val="000000"/>
          <w:bdr w:val="none" w:sz="0" w:space="0" w:color="auto" w:frame="1"/>
          <w:lang w:val="ru-RU"/>
        </w:rPr>
        <w:t>115</w:t>
      </w:r>
      <w:proofErr w:type="gramEnd"/>
      <w:r>
        <w:rPr>
          <w:color w:val="000000"/>
          <w:bdr w:val="none" w:sz="0" w:space="0" w:color="auto" w:frame="1"/>
          <w:lang w:val="ru-RU"/>
        </w:rPr>
        <w:t> 000 грн.</w:t>
      </w:r>
      <w:r w:rsidR="00E82380"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розробк</w:t>
      </w:r>
      <w:r w:rsidR="00E82380">
        <w:rPr>
          <w:color w:val="000000"/>
          <w:bdr w:val="none" w:sz="0" w:space="0" w:color="auto" w:frame="1"/>
          <w:lang w:val="ru-RU"/>
        </w:rPr>
        <w:t>у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навчальної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r w:rsidR="009F54DA">
        <w:rPr>
          <w:color w:val="000000"/>
          <w:bdr w:val="none" w:sz="0" w:space="0" w:color="auto" w:frame="1"/>
          <w:lang w:val="ru-RU"/>
        </w:rPr>
        <w:t xml:space="preserve">онлайн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в рамках проекту "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Інкубатор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з запуску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бізнесу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сфері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аквакультури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(AQUABATOR)</w:t>
      </w:r>
      <w:r w:rsidR="00E82380">
        <w:rPr>
          <w:color w:val="000000"/>
          <w:bdr w:val="none" w:sz="0" w:space="0" w:color="auto" w:frame="1"/>
          <w:lang w:val="ru-RU"/>
        </w:rPr>
        <w:t>.</w:t>
      </w:r>
    </w:p>
    <w:p w:rsidR="009A1C6B" w:rsidRPr="009A1C6B" w:rsidRDefault="009A1C6B" w:rsidP="009A1C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</w:pPr>
      <w:r w:rsidRPr="009A1C6B">
        <w:rPr>
          <w:rFonts w:ascii="Times New Roman" w:eastAsia="Times New Roman" w:hAnsi="Times New Roman" w:cs="Times New Roman"/>
          <w:bCs/>
          <w:spacing w:val="-1"/>
          <w:sz w:val="25"/>
          <w:szCs w:val="25"/>
          <w:lang w:val="uk-UA" w:eastAsia="x-none"/>
        </w:rPr>
        <w:t xml:space="preserve">Назва проєкту: </w:t>
      </w:r>
      <w:bookmarkStart w:id="1" w:name="_Hlk54794997"/>
      <w:r w:rsidRPr="009A1C6B">
        <w:rPr>
          <w:rFonts w:ascii="Times New Roman" w:eastAsia="Times New Roman" w:hAnsi="Times New Roman" w:cs="Times New Roman"/>
          <w:bCs/>
          <w:spacing w:val="-1"/>
          <w:sz w:val="25"/>
          <w:szCs w:val="25"/>
          <w:lang w:val="uk-UA" w:eastAsia="x-none"/>
        </w:rPr>
        <w:t>Інкубатор з запуску бізнесу у сфері аквакультури (AQUABATOR</w:t>
      </w:r>
      <w:r w:rsidRPr="009A1C6B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)</w:t>
      </w:r>
      <w:bookmarkEnd w:id="1"/>
    </w:p>
    <w:p w:rsidR="009A1C6B" w:rsidRPr="009A1C6B" w:rsidRDefault="009A1C6B" w:rsidP="009A1C6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1"/>
          <w:sz w:val="25"/>
          <w:szCs w:val="25"/>
          <w:lang w:val="uk-UA" w:eastAsia="x-non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237"/>
      </w:tblGrid>
      <w:tr w:rsidR="009A1C6B" w:rsidRPr="001C3169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Програма регіонального розвитку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Розвиток інноваційної економіки та інвестицій</w:t>
            </w:r>
          </w:p>
        </w:tc>
      </w:tr>
      <w:tr w:rsidR="009A1C6B" w:rsidRPr="001C3169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Напрям програми регіонального розвитку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Напрям 1.3. Стимулювання розвитку інноваційної інфраструктури та підтримка інноваційної діяльності</w:t>
            </w:r>
          </w:p>
        </w:tc>
      </w:tr>
      <w:tr w:rsidR="009A1C6B" w:rsidRPr="001C3169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 xml:space="preserve">Назва завдання Державної стратегії регіонального розвитку на період до 2020 року, якому відповідає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проєкт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Підвищення рівня інноваційної та інвестиційної спроможності регіонів через удосконалення регіональної інвестиційно-інноваційної інфраструктури, зокрема створення регіональної мережі наукових, технологічних та індустріальних парків, а також системи правової, кадрової та інформаційної підтримки інноваційної діяльності</w:t>
            </w:r>
          </w:p>
        </w:tc>
      </w:tr>
      <w:tr w:rsidR="009A1C6B" w:rsidRPr="009A1C6B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Регіон(и), територія(ї) або місто(а), в межах якого (яких) планується реалізація проєкту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</w:pP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Миколаївська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область, з перспективою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залучення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до проєкту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Одеської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та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Херсонської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областей</w:t>
            </w:r>
          </w:p>
        </w:tc>
      </w:tr>
      <w:tr w:rsidR="009A1C6B" w:rsidRPr="009A1C6B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Тривалість проєкту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36</w:t>
            </w: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 xml:space="preserve"> місяців </w:t>
            </w:r>
          </w:p>
        </w:tc>
      </w:tr>
      <w:tr w:rsidR="009A1C6B" w:rsidRPr="009A1C6B" w:rsidTr="003853F2">
        <w:trPr>
          <w:trHeight w:val="255"/>
        </w:trPr>
        <w:tc>
          <w:tcPr>
            <w:tcW w:w="4644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Бюджетна програма</w:t>
            </w:r>
          </w:p>
        </w:tc>
        <w:tc>
          <w:tcPr>
            <w:tcW w:w="6237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highlight w:val="yellow"/>
                <w:lang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КПКВК 2751270 «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Підтримка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регіональної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політики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України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»</w:t>
            </w:r>
          </w:p>
        </w:tc>
      </w:tr>
      <w:tr w:rsidR="009A1C6B" w:rsidRPr="009A1C6B" w:rsidTr="003853F2">
        <w:trPr>
          <w:trHeight w:val="485"/>
        </w:trPr>
        <w:tc>
          <w:tcPr>
            <w:tcW w:w="4644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Виконавець</w:t>
            </w:r>
          </w:p>
        </w:tc>
        <w:tc>
          <w:tcPr>
            <w:tcW w:w="6237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Галицинівська сільська рада</w:t>
            </w:r>
          </w:p>
        </w:tc>
      </w:tr>
      <w:tr w:rsidR="009A1C6B" w:rsidRPr="009A1C6B" w:rsidTr="003853F2">
        <w:trPr>
          <w:trHeight w:val="476"/>
        </w:trPr>
        <w:tc>
          <w:tcPr>
            <w:tcW w:w="4644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Бенефіціар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Галицинівська сільська рада</w:t>
            </w:r>
          </w:p>
        </w:tc>
      </w:tr>
    </w:tbl>
    <w:p w:rsidR="009A1C6B" w:rsidRPr="009A1C6B" w:rsidRDefault="009A1C6B" w:rsidP="009A1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E82380" w:rsidRPr="00E82380" w:rsidRDefault="00E82380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82380">
        <w:rPr>
          <w:color w:val="000000"/>
          <w:bdr w:val="none" w:sz="0" w:space="0" w:color="auto" w:frame="1"/>
        </w:rPr>
        <w:t xml:space="preserve">З метою максимальної економії бюджетних коштів,  дотримання прозорості при закупівлі послуг </w:t>
      </w:r>
      <w:r>
        <w:rPr>
          <w:color w:val="000000"/>
          <w:bdr w:val="none" w:sz="0" w:space="0" w:color="auto" w:frame="1"/>
        </w:rPr>
        <w:t xml:space="preserve">передбачено </w:t>
      </w:r>
      <w:r w:rsidRPr="00E82380">
        <w:rPr>
          <w:color w:val="000000"/>
          <w:bdr w:val="none" w:sz="0" w:space="0" w:color="auto" w:frame="1"/>
        </w:rPr>
        <w:t>здійснити її шляхом проведення спрощеної закупівлі на ПРОЗОРРО.</w:t>
      </w:r>
    </w:p>
    <w:p w:rsidR="00E82380" w:rsidRPr="00E82380" w:rsidRDefault="00E82380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</w:p>
    <w:p w:rsidR="00685DEA" w:rsidRPr="00EA3D14" w:rsidRDefault="00685DEA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</w:rPr>
      </w:pPr>
      <w:r w:rsidRPr="00EA3D14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 w:rsidRPr="00EA3D14">
        <w:rPr>
          <w:b/>
          <w:color w:val="000000"/>
          <w:bdr w:val="none" w:sz="0" w:space="0" w:color="auto" w:frame="1"/>
          <w:lang w:val="ru-RU"/>
        </w:rPr>
        <w:t xml:space="preserve"> </w:t>
      </w:r>
      <w:r w:rsidR="00E82380" w:rsidRPr="00EA3D14">
        <w:rPr>
          <w:b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82380" w:rsidRPr="00EA3D14">
        <w:rPr>
          <w:b/>
          <w:color w:val="000000"/>
          <w:bdr w:val="none" w:sz="0" w:space="0" w:color="auto" w:frame="1"/>
          <w:lang w:val="ru-RU"/>
        </w:rPr>
        <w:t>договорі</w:t>
      </w:r>
      <w:proofErr w:type="spellEnd"/>
      <w:r w:rsidR="00E82380" w:rsidRPr="00EA3D14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EA3D14">
        <w:rPr>
          <w:b/>
          <w:color w:val="000000"/>
          <w:bdr w:val="none" w:sz="0" w:space="0" w:color="auto" w:frame="1"/>
          <w:lang w:val="ru-RU"/>
        </w:rPr>
        <w:t>від</w:t>
      </w:r>
      <w:proofErr w:type="spellEnd"/>
      <w:r w:rsidR="00E82380" w:rsidRPr="00EA3D14">
        <w:rPr>
          <w:b/>
          <w:color w:val="000000"/>
          <w:bdr w:val="none" w:sz="0" w:space="0" w:color="auto" w:frame="1"/>
          <w:lang w:val="ru-RU"/>
        </w:rPr>
        <w:t xml:space="preserve"> 06.08.2021 №36-294/2021 </w:t>
      </w:r>
      <w:r w:rsidRPr="00EA3D14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A3D14">
        <w:rPr>
          <w:b/>
          <w:color w:val="000000"/>
          <w:bdr w:val="none" w:sz="0" w:space="0" w:color="auto" w:frame="1"/>
          <w:lang w:val="ru-RU"/>
        </w:rPr>
        <w:t>визначена</w:t>
      </w:r>
      <w:proofErr w:type="spellEnd"/>
      <w:r w:rsidR="00E82380" w:rsidRPr="00EA3D14">
        <w:rPr>
          <w:b/>
          <w:color w:val="000000"/>
          <w:bdr w:val="none" w:sz="0" w:space="0" w:color="auto" w:frame="1"/>
          <w:lang w:val="ru-RU"/>
        </w:rPr>
        <w:t xml:space="preserve"> </w:t>
      </w:r>
      <w:r w:rsidR="009F54DA" w:rsidRPr="00EA3D14">
        <w:rPr>
          <w:b/>
          <w:color w:val="000000"/>
          <w:bdr w:val="none" w:sz="0" w:space="0" w:color="auto" w:frame="1"/>
          <w:lang w:val="ru-RU"/>
        </w:rPr>
        <w:t>1</w:t>
      </w:r>
      <w:r w:rsidR="00A90A05" w:rsidRPr="00EA3D14">
        <w:rPr>
          <w:b/>
          <w:color w:val="000000"/>
          <w:bdr w:val="none" w:sz="0" w:space="0" w:color="auto" w:frame="1"/>
          <w:lang w:val="ru-RU"/>
        </w:rPr>
        <w:t>2</w:t>
      </w:r>
      <w:r w:rsidR="009F54DA" w:rsidRPr="00EA3D14">
        <w:rPr>
          <w:b/>
          <w:color w:val="000000"/>
          <w:bdr w:val="none" w:sz="0" w:space="0" w:color="auto" w:frame="1"/>
          <w:lang w:val="ru-RU"/>
        </w:rPr>
        <w:t>5</w:t>
      </w:r>
      <w:r w:rsidR="00E82380" w:rsidRPr="00EA3D14">
        <w:rPr>
          <w:b/>
          <w:color w:val="000000"/>
          <w:bdr w:val="none" w:sz="0" w:space="0" w:color="auto" w:frame="1"/>
          <w:lang w:val="ru-RU"/>
        </w:rPr>
        <w:t xml:space="preserve"> 000</w:t>
      </w:r>
      <w:r w:rsidRPr="00EA3D14">
        <w:rPr>
          <w:b/>
          <w:color w:val="000000"/>
          <w:bdr w:val="none" w:sz="0" w:space="0" w:color="auto" w:frame="1"/>
          <w:lang w:val="ru-RU"/>
        </w:rPr>
        <w:t xml:space="preserve"> грн.</w:t>
      </w:r>
      <w:r w:rsidRPr="00EA3D14">
        <w:rPr>
          <w:b/>
          <w:color w:val="000000"/>
          <w:bdr w:val="none" w:sz="0" w:space="0" w:color="auto" w:frame="1"/>
        </w:rPr>
        <w:t> </w:t>
      </w:r>
    </w:p>
    <w:p w:rsidR="00A90A05" w:rsidRPr="00A90A05" w:rsidRDefault="00A90A05" w:rsidP="00A90A05">
      <w:pPr>
        <w:pStyle w:val="21"/>
        <w:shd w:val="clear" w:color="auto" w:fill="FFFFFF"/>
        <w:spacing w:after="0"/>
        <w:ind w:firstLine="708"/>
        <w:jc w:val="both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>Програма акселерації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A90A05">
        <w:rPr>
          <w:color w:val="000000"/>
          <w:bdr w:val="none" w:sz="0" w:space="0" w:color="auto" w:frame="1"/>
        </w:rPr>
        <w:t xml:space="preserve">Програма акселерації спрямована на жителів Миколаївської області, потенційних власників </w:t>
      </w:r>
      <w:proofErr w:type="spellStart"/>
      <w:r w:rsidRPr="00A90A05">
        <w:rPr>
          <w:color w:val="000000"/>
          <w:bdr w:val="none" w:sz="0" w:space="0" w:color="auto" w:frame="1"/>
        </w:rPr>
        <w:t>акваферм</w:t>
      </w:r>
      <w:proofErr w:type="spellEnd"/>
      <w:r w:rsidRPr="00A90A05">
        <w:rPr>
          <w:color w:val="000000"/>
          <w:bdr w:val="none" w:sz="0" w:space="0" w:color="auto" w:frame="1"/>
        </w:rPr>
        <w:t xml:space="preserve"> та покликана допомогти їм відкрити, посилити та реалізувати свій потенціал у галузі </w:t>
      </w:r>
      <w:proofErr w:type="spellStart"/>
      <w:r w:rsidRPr="00A90A05">
        <w:rPr>
          <w:color w:val="000000"/>
          <w:bdr w:val="none" w:sz="0" w:space="0" w:color="auto" w:frame="1"/>
        </w:rPr>
        <w:t>аквафермерства</w:t>
      </w:r>
      <w:proofErr w:type="spellEnd"/>
      <w:r w:rsidRPr="00A90A05">
        <w:rPr>
          <w:color w:val="000000"/>
          <w:bdr w:val="none" w:sz="0" w:space="0" w:color="auto" w:frame="1"/>
        </w:rPr>
        <w:t xml:space="preserve">, набути необхідних знань та контактів для реалізації бізнес-проєктів. 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 w:rsidRPr="00A90A05">
        <w:rPr>
          <w:color w:val="000000"/>
          <w:bdr w:val="none" w:sz="0" w:space="0" w:color="auto" w:frame="1"/>
          <w:lang w:val="ru-RU"/>
        </w:rPr>
        <w:t>Програма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акселерації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передбачає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доступ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учасників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до таких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Акселератора: 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A90A05">
        <w:rPr>
          <w:color w:val="000000"/>
          <w:bdr w:val="none" w:sz="0" w:space="0" w:color="auto" w:frame="1"/>
          <w:lang w:val="ru-RU"/>
        </w:rPr>
        <w:t>1)</w:t>
      </w:r>
      <w:r w:rsidRPr="00A90A05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навчання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мережування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–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професійна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підготовка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підвищення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кваліфікації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учасників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подальшої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підприємницької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діяльності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через участь в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освітніх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тренінгах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залучення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єдиної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мережі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іншими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учасниками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представниками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галузі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інших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регіонах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>.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A90A05">
        <w:rPr>
          <w:color w:val="000000"/>
          <w:bdr w:val="none" w:sz="0" w:space="0" w:color="auto" w:frame="1"/>
          <w:lang w:val="ru-RU"/>
        </w:rPr>
        <w:lastRenderedPageBreak/>
        <w:t>2)</w:t>
      </w:r>
      <w:r w:rsidRPr="00A90A05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наставництво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менторство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) –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постійна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комунікація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з консультантами (менторами),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включаючи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професійні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поради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стажування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інші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неформальні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форми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передання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досвіду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знань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навичок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розбудову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ділових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зв’язків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тощо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>.</w:t>
      </w:r>
    </w:p>
    <w:p w:rsidR="00A90A05" w:rsidRP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A90A05">
        <w:rPr>
          <w:color w:val="000000"/>
          <w:bdr w:val="none" w:sz="0" w:space="0" w:color="auto" w:frame="1"/>
          <w:lang w:val="ru-RU"/>
        </w:rPr>
        <w:t>3)</w:t>
      </w:r>
      <w:r w:rsidRPr="00A90A05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пошук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бізнес-партнерів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інвесторів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-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презентацій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бізнес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-проєктів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учасників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участю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потенційних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бізнес-партнерів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спонсорів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інвесторів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що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створює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можливості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оцінки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надання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коментарів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пропозицій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) та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подальшої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підтримки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ними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бізнес-ідей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учасників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. </w:t>
      </w:r>
    </w:p>
    <w:p w:rsidR="00A90A05" w:rsidRDefault="00A90A05" w:rsidP="00A90A05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A90A05">
        <w:rPr>
          <w:color w:val="000000"/>
          <w:bdr w:val="none" w:sz="0" w:space="0" w:color="auto" w:frame="1"/>
          <w:lang w:val="ru-RU"/>
        </w:rPr>
        <w:t>4)</w:t>
      </w:r>
      <w:r w:rsidRPr="00A90A05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пілотна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демонстраційна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)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акваферма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–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навчання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базі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пілотної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демонстраційної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акваферми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 w:rsidRPr="00A90A05">
        <w:rPr>
          <w:color w:val="000000"/>
          <w:bdr w:val="none" w:sz="0" w:space="0" w:color="auto" w:frame="1"/>
          <w:lang w:val="ru-RU"/>
        </w:rPr>
        <w:t>базі</w:t>
      </w:r>
      <w:proofErr w:type="spellEnd"/>
      <w:r w:rsidRPr="00A90A05">
        <w:rPr>
          <w:color w:val="000000"/>
          <w:bdr w:val="none" w:sz="0" w:space="0" w:color="auto" w:frame="1"/>
          <w:lang w:val="ru-RU"/>
        </w:rPr>
        <w:t xml:space="preserve"> Галицинівської ТГ.</w:t>
      </w:r>
    </w:p>
    <w:p w:rsidR="00A90A05" w:rsidRDefault="00A90A05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8D7E5E" w:rsidRPr="00D02707" w:rsidRDefault="008D7E5E" w:rsidP="00D71541">
      <w:pPr>
        <w:pStyle w:val="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проектних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розрахунків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- </w:t>
      </w:r>
      <w:r w:rsidR="00A90A05">
        <w:rPr>
          <w:color w:val="000000"/>
          <w:bdr w:val="none" w:sz="0" w:space="0" w:color="auto" w:frame="1"/>
          <w:lang w:val="ru-RU"/>
        </w:rPr>
        <w:t>3</w:t>
      </w:r>
      <w:r w:rsidR="00E82380">
        <w:rPr>
          <w:color w:val="000000"/>
          <w:bdr w:val="none" w:sz="0" w:space="0" w:color="auto" w:frame="1"/>
          <w:lang w:val="ru-RU"/>
        </w:rPr>
        <w:t>0</w:t>
      </w:r>
      <w:r w:rsidR="00BA0C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>
        <w:rPr>
          <w:color w:val="000000"/>
          <w:bdr w:val="none" w:sz="0" w:space="0" w:color="auto" w:frame="1"/>
          <w:lang w:val="ru-RU"/>
        </w:rPr>
        <w:t>днів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з моменту </w:t>
      </w:r>
      <w:proofErr w:type="spellStart"/>
      <w:r w:rsidR="00EB7F58">
        <w:rPr>
          <w:color w:val="000000"/>
          <w:bdr w:val="none" w:sz="0" w:space="0" w:color="auto" w:frame="1"/>
          <w:lang w:val="ru-RU"/>
        </w:rPr>
        <w:t>п</w:t>
      </w:r>
      <w:r w:rsidR="00B978BC" w:rsidRPr="00EB7F58">
        <w:rPr>
          <w:color w:val="000000"/>
          <w:bdr w:val="none" w:sz="0" w:space="0" w:color="auto" w:frame="1"/>
          <w:lang w:val="ru-RU"/>
        </w:rPr>
        <w:t>ідписання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договору</w:t>
      </w:r>
      <w:r w:rsidRPr="00EB7F58">
        <w:rPr>
          <w:color w:val="000000"/>
          <w:bdr w:val="none" w:sz="0" w:space="0" w:color="auto" w:frame="1"/>
          <w:lang w:val="ru-RU"/>
        </w:rPr>
        <w:t>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A90A05" w:rsidRPr="00A90A05" w:rsidRDefault="00A90A05" w:rsidP="00A9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A05">
        <w:t xml:space="preserve"> </w:t>
      </w:r>
      <w:r w:rsidRPr="00A90A0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90A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Наявність релевантного досвіду у розробці програм акселерації для МСБ (не менше 1). </w:t>
      </w:r>
    </w:p>
    <w:p w:rsidR="009F54DA" w:rsidRDefault="00A90A05" w:rsidP="00A90A05">
      <w:pPr>
        <w:spacing w:after="0" w:line="240" w:lineRule="auto"/>
        <w:ind w:firstLine="567"/>
        <w:jc w:val="both"/>
        <w:rPr>
          <w:color w:val="323232"/>
          <w:shd w:val="clear" w:color="auto" w:fill="FFFFFF"/>
        </w:rPr>
      </w:pPr>
      <w:r w:rsidRPr="00A90A0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90A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Наявність релевантного досвіду у розробці навчальних матеріалів у галузі </w:t>
      </w:r>
      <w:proofErr w:type="spellStart"/>
      <w:r w:rsidRPr="00A90A05">
        <w:rPr>
          <w:rFonts w:ascii="Times New Roman" w:hAnsi="Times New Roman" w:cs="Times New Roman"/>
          <w:sz w:val="24"/>
          <w:szCs w:val="24"/>
          <w:lang w:val="uk-UA"/>
        </w:rPr>
        <w:t>аквафермерства</w:t>
      </w:r>
      <w:proofErr w:type="spellEnd"/>
      <w:r w:rsidRPr="00A90A05">
        <w:rPr>
          <w:rFonts w:ascii="Times New Roman" w:hAnsi="Times New Roman" w:cs="Times New Roman"/>
          <w:sz w:val="24"/>
          <w:szCs w:val="24"/>
          <w:lang w:val="uk-UA"/>
        </w:rPr>
        <w:t xml:space="preserve"> (не менше 1).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D748B3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</w:t>
      </w:r>
      <w:r w:rsidR="00D748B3">
        <w:rPr>
          <w:color w:val="323232"/>
          <w:shd w:val="clear" w:color="auto" w:fill="FFFFFF"/>
          <w:lang w:val="ru-RU"/>
        </w:rPr>
        <w:t xml:space="preserve">             </w:t>
      </w:r>
      <w:r>
        <w:rPr>
          <w:color w:val="323232"/>
          <w:shd w:val="clear" w:color="auto" w:fill="FFFFFF"/>
          <w:lang w:val="ru-RU"/>
        </w:rPr>
        <w:t xml:space="preserve">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2657C"/>
    <w:rsid w:val="0003032A"/>
    <w:rsid w:val="000A72D4"/>
    <w:rsid w:val="000F069D"/>
    <w:rsid w:val="000F381F"/>
    <w:rsid w:val="001116E7"/>
    <w:rsid w:val="00123618"/>
    <w:rsid w:val="001A196A"/>
    <w:rsid w:val="001C3169"/>
    <w:rsid w:val="0029482B"/>
    <w:rsid w:val="002E670F"/>
    <w:rsid w:val="002F3B86"/>
    <w:rsid w:val="00381012"/>
    <w:rsid w:val="003B6866"/>
    <w:rsid w:val="003D5530"/>
    <w:rsid w:val="00404B54"/>
    <w:rsid w:val="00414811"/>
    <w:rsid w:val="004725CE"/>
    <w:rsid w:val="00472CE6"/>
    <w:rsid w:val="00494BE8"/>
    <w:rsid w:val="004E4C85"/>
    <w:rsid w:val="004F5E0C"/>
    <w:rsid w:val="0051376B"/>
    <w:rsid w:val="00515EFB"/>
    <w:rsid w:val="005352B8"/>
    <w:rsid w:val="005A3289"/>
    <w:rsid w:val="005C0356"/>
    <w:rsid w:val="005C4171"/>
    <w:rsid w:val="006247D8"/>
    <w:rsid w:val="00660E0E"/>
    <w:rsid w:val="00685DEA"/>
    <w:rsid w:val="00687B1A"/>
    <w:rsid w:val="006A5D08"/>
    <w:rsid w:val="007314C9"/>
    <w:rsid w:val="007344F8"/>
    <w:rsid w:val="00736684"/>
    <w:rsid w:val="007528EA"/>
    <w:rsid w:val="0075584B"/>
    <w:rsid w:val="00781C2C"/>
    <w:rsid w:val="007914C1"/>
    <w:rsid w:val="007A4E9D"/>
    <w:rsid w:val="007D3B75"/>
    <w:rsid w:val="008D7E5E"/>
    <w:rsid w:val="008E4EDB"/>
    <w:rsid w:val="00952711"/>
    <w:rsid w:val="00956537"/>
    <w:rsid w:val="009A1C6B"/>
    <w:rsid w:val="009A452F"/>
    <w:rsid w:val="009E5BB0"/>
    <w:rsid w:val="009F54DA"/>
    <w:rsid w:val="00A1202B"/>
    <w:rsid w:val="00A1454B"/>
    <w:rsid w:val="00A2120D"/>
    <w:rsid w:val="00A90A05"/>
    <w:rsid w:val="00AB579F"/>
    <w:rsid w:val="00AD7045"/>
    <w:rsid w:val="00B11C4B"/>
    <w:rsid w:val="00B978BC"/>
    <w:rsid w:val="00BA0C86"/>
    <w:rsid w:val="00BC7354"/>
    <w:rsid w:val="00BD3B0A"/>
    <w:rsid w:val="00CB1C49"/>
    <w:rsid w:val="00CC2428"/>
    <w:rsid w:val="00CD4C4D"/>
    <w:rsid w:val="00D02707"/>
    <w:rsid w:val="00D31EC0"/>
    <w:rsid w:val="00D55421"/>
    <w:rsid w:val="00D56869"/>
    <w:rsid w:val="00D71541"/>
    <w:rsid w:val="00D748B3"/>
    <w:rsid w:val="00E03F0D"/>
    <w:rsid w:val="00E27BC1"/>
    <w:rsid w:val="00E45B5C"/>
    <w:rsid w:val="00E82380"/>
    <w:rsid w:val="00EA3C38"/>
    <w:rsid w:val="00EA3D14"/>
    <w:rsid w:val="00EB7F58"/>
    <w:rsid w:val="00F01B5F"/>
    <w:rsid w:val="00F03C2D"/>
    <w:rsid w:val="00F06C9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D186-3307-4A46-BB21-C72935E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4460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11</cp:revision>
  <dcterms:created xsi:type="dcterms:W3CDTF">2021-10-25T13:02:00Z</dcterms:created>
  <dcterms:modified xsi:type="dcterms:W3CDTF">2021-11-03T14:10:00Z</dcterms:modified>
</cp:coreProperties>
</file>