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20" w:rsidRDefault="009B3A20" w:rsidP="009B3A20">
      <w:pPr>
        <w:pStyle w:val="ShiftA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головного лікаря щодо роботи </w:t>
      </w:r>
    </w:p>
    <w:p w:rsidR="009B3A20" w:rsidRPr="009B3A20" w:rsidRDefault="009B3A20" w:rsidP="009B3A20">
      <w:pPr>
        <w:pStyle w:val="ShiftA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підприємства «Галицинівський центр первинної медико-санітарної допомоги» за 2020 рік</w:t>
      </w:r>
    </w:p>
    <w:p w:rsidR="009B3A20" w:rsidRDefault="009B3A20" w:rsidP="009B3A20">
      <w:pPr>
        <w:pStyle w:val="ShiftAlt"/>
        <w:rPr>
          <w:sz w:val="28"/>
          <w:szCs w:val="28"/>
        </w:rPr>
      </w:pPr>
    </w:p>
    <w:p w:rsidR="009B3A20" w:rsidRDefault="009B3A20" w:rsidP="009B3A20">
      <w:pPr>
        <w:pStyle w:val="ShiftAlt"/>
        <w:rPr>
          <w:sz w:val="28"/>
          <w:szCs w:val="28"/>
        </w:rPr>
      </w:pPr>
    </w:p>
    <w:p w:rsidR="009B3A20" w:rsidRPr="00CA624A" w:rsidRDefault="009B3A20" w:rsidP="009B3A20">
      <w:pPr>
        <w:pStyle w:val="ShiftA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A624A">
        <w:rPr>
          <w:sz w:val="28"/>
          <w:szCs w:val="28"/>
        </w:rPr>
        <w:t>КП</w:t>
      </w:r>
      <w:proofErr w:type="spellEnd"/>
      <w:r w:rsidRPr="00CA624A">
        <w:rPr>
          <w:sz w:val="28"/>
          <w:szCs w:val="28"/>
        </w:rPr>
        <w:t xml:space="preserve"> «Галицинівський </w:t>
      </w:r>
      <w:r>
        <w:rPr>
          <w:sz w:val="28"/>
          <w:szCs w:val="28"/>
        </w:rPr>
        <w:t>ЦПМСД</w:t>
      </w:r>
      <w:r w:rsidRPr="00CA624A">
        <w:rPr>
          <w:sz w:val="28"/>
          <w:szCs w:val="28"/>
        </w:rPr>
        <w:t xml:space="preserve">» створене на базі майна спільної власності територіальної громади </w:t>
      </w:r>
      <w:proofErr w:type="spellStart"/>
      <w:r w:rsidRPr="00CA624A">
        <w:rPr>
          <w:sz w:val="28"/>
          <w:szCs w:val="28"/>
        </w:rPr>
        <w:t>Галицинівської</w:t>
      </w:r>
      <w:proofErr w:type="spellEnd"/>
      <w:r w:rsidRPr="00CA624A">
        <w:rPr>
          <w:sz w:val="28"/>
          <w:szCs w:val="28"/>
        </w:rPr>
        <w:t xml:space="preserve"> ОТГ. Засновником, власником та органом управління майном Підприємства є Галицинівська сільська рада.</w:t>
      </w:r>
    </w:p>
    <w:p w:rsidR="009B3A20" w:rsidRPr="00CA624A" w:rsidRDefault="009B3A20" w:rsidP="009B3A20">
      <w:pPr>
        <w:pStyle w:val="ShiftA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624A">
        <w:rPr>
          <w:sz w:val="28"/>
          <w:szCs w:val="28"/>
        </w:rPr>
        <w:t xml:space="preserve">Підприємство здійснює господарську некомерційну діяльність, спрямовану на досягнення соціальних та інших результатів без мети одержання прибутку.  </w:t>
      </w:r>
    </w:p>
    <w:p w:rsidR="009B3A20" w:rsidRPr="00CA624A" w:rsidRDefault="009B3A20" w:rsidP="009B3A20">
      <w:pPr>
        <w:pStyle w:val="ShiftA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A624A">
        <w:rPr>
          <w:sz w:val="28"/>
          <w:szCs w:val="28"/>
        </w:rPr>
        <w:t>КП</w:t>
      </w:r>
      <w:proofErr w:type="spellEnd"/>
      <w:r w:rsidRPr="00CA624A">
        <w:rPr>
          <w:sz w:val="28"/>
          <w:szCs w:val="28"/>
        </w:rPr>
        <w:t xml:space="preserve"> «Галицинівський </w:t>
      </w:r>
      <w:r>
        <w:rPr>
          <w:sz w:val="28"/>
          <w:szCs w:val="28"/>
        </w:rPr>
        <w:t>ЦПМСД</w:t>
      </w:r>
      <w:r w:rsidRPr="00CA624A">
        <w:rPr>
          <w:sz w:val="28"/>
          <w:szCs w:val="28"/>
        </w:rPr>
        <w:t>», відповідно до Статуту, є закладом охорони здоров’я, що надає медичну допомогу будь-яким особам в порядку та на умовах, встановлених законодавством України та його Статутом, а також, вживає заходів із профілактики захворювань населення та підтримання громадського здоров’я.</w:t>
      </w:r>
    </w:p>
    <w:p w:rsidR="009B3A20" w:rsidRPr="00CA624A" w:rsidRDefault="009B3A20" w:rsidP="009B3A20">
      <w:pPr>
        <w:pStyle w:val="ShiftA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624A">
        <w:rPr>
          <w:sz w:val="28"/>
          <w:szCs w:val="28"/>
        </w:rPr>
        <w:t>Підприємство 20.01.2020року уклало договір з Національною службою здоров’я України і відповідно до умов цього договору надає пацієнтам медичні послуги за програмою медичних гарантій, що передбачені Порядком надання первинної медичної допомоги, затвердженим наказом МОЗ №504 від 19.03.2018року.</w:t>
      </w:r>
    </w:p>
    <w:p w:rsidR="00A12607" w:rsidRPr="009B3A20" w:rsidRDefault="00A12607" w:rsidP="00A12607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12607" w:rsidRPr="005C70CB" w:rsidRDefault="00A12607" w:rsidP="00A1260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 w:rsidRPr="005C70C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«Галицинівський ЦПМСД» спрямована на профілактику і своєчасне виявлення хворих на туберкульоз, </w:t>
      </w:r>
      <w:proofErr w:type="spellStart"/>
      <w:r w:rsidRPr="005C70CB">
        <w:rPr>
          <w:rFonts w:ascii="Times New Roman" w:hAnsi="Times New Roman" w:cs="Times New Roman"/>
          <w:sz w:val="28"/>
          <w:szCs w:val="28"/>
          <w:lang w:val="uk-UA"/>
        </w:rPr>
        <w:t>онкопатологію</w:t>
      </w:r>
      <w:proofErr w:type="spellEnd"/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, охорону материнства та дитинства, профілактику та лікування населення району, профілактику захворювання населення керованими інфекціями та попередженням їх профілактичними щепленнями. </w:t>
      </w:r>
    </w:p>
    <w:p w:rsidR="00A12607" w:rsidRPr="005C70CB" w:rsidRDefault="00A12607" w:rsidP="00A1260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    Вся діяльність закладу проводиться відповідно до планів основних організаційних заходів, основних видів діяльності.</w:t>
      </w:r>
    </w:p>
    <w:p w:rsidR="00A12607" w:rsidRPr="005C70CB" w:rsidRDefault="00A12607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    В </w:t>
      </w:r>
      <w:proofErr w:type="spellStart"/>
      <w:r w:rsidRPr="005C70C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«Галицинівський ЦПМСД» проводяться оперативні наради, конференції з працівниками закладу.</w:t>
      </w:r>
    </w:p>
    <w:p w:rsidR="00A12607" w:rsidRPr="005C70CB" w:rsidRDefault="00A12607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    З 1 квітня 2020 року авторизовані в електронній системі охорони здоров’я </w:t>
      </w:r>
      <w:r w:rsidRPr="005C70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70CB">
        <w:rPr>
          <w:rFonts w:ascii="Times New Roman" w:hAnsi="Times New Roman" w:cs="Times New Roman"/>
          <w:sz w:val="28"/>
          <w:szCs w:val="28"/>
        </w:rPr>
        <w:t xml:space="preserve"> </w:t>
      </w:r>
      <w:r w:rsidRPr="005C70CB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5C70CB">
        <w:rPr>
          <w:rFonts w:ascii="Times New Roman" w:hAnsi="Times New Roman" w:cs="Times New Roman"/>
          <w:sz w:val="28"/>
          <w:szCs w:val="28"/>
        </w:rPr>
        <w:t xml:space="preserve">. </w:t>
      </w:r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Дані, що вносяться під час прийому </w:t>
      </w:r>
      <w:r w:rsidR="009A496A" w:rsidRPr="005C70CB">
        <w:rPr>
          <w:rFonts w:ascii="Times New Roman" w:hAnsi="Times New Roman" w:cs="Times New Roman"/>
          <w:sz w:val="28"/>
          <w:szCs w:val="28"/>
          <w:lang w:val="uk-UA"/>
        </w:rPr>
        <w:t>з використанням ІСРС-2 додаються до медичних записів пацієнта та зберігаються в центральній базі даних електронної системи охорони здоров’я.</w:t>
      </w:r>
    </w:p>
    <w:p w:rsidR="009A496A" w:rsidRPr="005C70CB" w:rsidRDefault="009A496A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    В </w:t>
      </w:r>
      <w:proofErr w:type="spellStart"/>
      <w:r w:rsidRPr="005C70C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«Галицинівський ЦПМСД» працює 6 лікарів ( 3 терапевта, 2 педіатра) включаючи головного лікаря. Сумісний лікар-лаборант, який</w:t>
      </w:r>
      <w:r w:rsidR="00B73201"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проводе біохімічні дослідження,</w:t>
      </w:r>
      <w:r w:rsidRPr="005C70CB">
        <w:rPr>
          <w:rFonts w:ascii="Times New Roman" w:hAnsi="Times New Roman" w:cs="Times New Roman"/>
          <w:sz w:val="28"/>
          <w:szCs w:val="28"/>
          <w:lang w:val="uk-UA"/>
        </w:rPr>
        <w:t xml:space="preserve"> 16 середніх медичних працівників, включаючи лаборанта.</w:t>
      </w:r>
    </w:p>
    <w:p w:rsidR="00B73201" w:rsidRDefault="00B73201" w:rsidP="00A1260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496A" w:rsidRDefault="009A496A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Pr="009A496A">
        <w:rPr>
          <w:rFonts w:ascii="Times New Roman" w:hAnsi="Times New Roman" w:cs="Times New Roman"/>
          <w:sz w:val="28"/>
          <w:szCs w:val="28"/>
          <w:lang w:val="uk-UA"/>
        </w:rPr>
        <w:t xml:space="preserve">Численність наявного населення в 2020 році </w:t>
      </w:r>
      <w:r>
        <w:rPr>
          <w:rFonts w:ascii="Times New Roman" w:hAnsi="Times New Roman" w:cs="Times New Roman"/>
          <w:sz w:val="28"/>
          <w:szCs w:val="28"/>
          <w:lang w:val="uk-UA"/>
        </w:rPr>
        <w:t>– 7959 (на 01.01.2021 - 8200).</w:t>
      </w:r>
    </w:p>
    <w:p w:rsidR="009A496A" w:rsidRDefault="009A496A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Діючих декларацій на початок 2020 року – 3256, на кінець 2020 року – 6934 (87%).</w:t>
      </w:r>
    </w:p>
    <w:p w:rsidR="009A496A" w:rsidRPr="00B73201" w:rsidRDefault="009A496A" w:rsidP="00A12607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819"/>
        <w:gridCol w:w="4679"/>
      </w:tblGrid>
      <w:tr w:rsidR="009A496A" w:rsidTr="002B07D8">
        <w:tc>
          <w:tcPr>
            <w:tcW w:w="4819" w:type="dxa"/>
          </w:tcPr>
          <w:p w:rsidR="009A496A" w:rsidRPr="00000CE9" w:rsidRDefault="009A496A" w:rsidP="009A49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Населення</w:t>
            </w:r>
          </w:p>
        </w:tc>
        <w:tc>
          <w:tcPr>
            <w:tcW w:w="4679" w:type="dxa"/>
          </w:tcPr>
          <w:p w:rsidR="009A496A" w:rsidRPr="00000CE9" w:rsidRDefault="009A496A" w:rsidP="009A49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2020рік</w:t>
            </w:r>
          </w:p>
        </w:tc>
      </w:tr>
      <w:tr w:rsidR="009A496A" w:rsidTr="002B07D8">
        <w:tc>
          <w:tcPr>
            <w:tcW w:w="4819" w:type="dxa"/>
          </w:tcPr>
          <w:p w:rsidR="009A496A" w:rsidRDefault="00000CE9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населення району</w:t>
            </w:r>
          </w:p>
        </w:tc>
        <w:tc>
          <w:tcPr>
            <w:tcW w:w="4679" w:type="dxa"/>
          </w:tcPr>
          <w:p w:rsidR="009A496A" w:rsidRDefault="00000CE9" w:rsidP="00000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7959</w:t>
            </w:r>
          </w:p>
        </w:tc>
      </w:tr>
      <w:tr w:rsidR="009A496A" w:rsidTr="002B07D8">
        <w:tc>
          <w:tcPr>
            <w:tcW w:w="4819" w:type="dxa"/>
          </w:tcPr>
          <w:p w:rsidR="009A496A" w:rsidRDefault="00000CE9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 дорослого</w:t>
            </w:r>
          </w:p>
        </w:tc>
        <w:tc>
          <w:tcPr>
            <w:tcW w:w="4679" w:type="dxa"/>
          </w:tcPr>
          <w:p w:rsidR="009A496A" w:rsidRDefault="00000CE9" w:rsidP="00000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6212</w:t>
            </w:r>
          </w:p>
        </w:tc>
      </w:tr>
      <w:tr w:rsidR="009A496A" w:rsidTr="002B07D8">
        <w:tc>
          <w:tcPr>
            <w:tcW w:w="4819" w:type="dxa"/>
          </w:tcPr>
          <w:p w:rsidR="009A496A" w:rsidRDefault="00000CE9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0 до 14 років</w:t>
            </w:r>
          </w:p>
        </w:tc>
        <w:tc>
          <w:tcPr>
            <w:tcW w:w="4679" w:type="dxa"/>
          </w:tcPr>
          <w:p w:rsidR="009A496A" w:rsidRDefault="00000CE9" w:rsidP="00000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1502</w:t>
            </w:r>
          </w:p>
        </w:tc>
      </w:tr>
      <w:tr w:rsidR="009A496A" w:rsidTr="002B07D8">
        <w:tc>
          <w:tcPr>
            <w:tcW w:w="4819" w:type="dxa"/>
          </w:tcPr>
          <w:p w:rsidR="009A496A" w:rsidRDefault="00000CE9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до 1 року</w:t>
            </w:r>
          </w:p>
        </w:tc>
        <w:tc>
          <w:tcPr>
            <w:tcW w:w="4679" w:type="dxa"/>
          </w:tcPr>
          <w:p w:rsidR="009A496A" w:rsidRDefault="00000CE9" w:rsidP="00000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9A496A" w:rsidTr="002B07D8">
        <w:tc>
          <w:tcPr>
            <w:tcW w:w="4819" w:type="dxa"/>
          </w:tcPr>
          <w:p w:rsidR="009A496A" w:rsidRDefault="00000CE9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Працездатне населення</w:t>
            </w:r>
          </w:p>
        </w:tc>
        <w:tc>
          <w:tcPr>
            <w:tcW w:w="4679" w:type="dxa"/>
          </w:tcPr>
          <w:p w:rsidR="009A496A" w:rsidRDefault="00000CE9" w:rsidP="00000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4364</w:t>
            </w:r>
          </w:p>
        </w:tc>
      </w:tr>
    </w:tbl>
    <w:p w:rsidR="009A496A" w:rsidRDefault="009A496A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AA" w:rsidRDefault="00827BAA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3910" w:rsidRPr="00293910" w:rsidRDefault="00293910" w:rsidP="00A1260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CE9" w:rsidRPr="00827BAA" w:rsidRDefault="00000CE9" w:rsidP="00A126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Природній рух населення за 2020 рік в порівнянні з 2019 роком </w:t>
      </w:r>
    </w:p>
    <w:p w:rsidR="00827BAA" w:rsidRPr="00827BAA" w:rsidRDefault="00827BAA" w:rsidP="00A12607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27BAA" w:rsidRPr="00827BAA" w:rsidTr="00827BAA">
        <w:tc>
          <w:tcPr>
            <w:tcW w:w="3190" w:type="dxa"/>
          </w:tcPr>
          <w:p w:rsidR="00827BAA" w:rsidRPr="00827BAA" w:rsidRDefault="00827BAA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</w:t>
            </w:r>
          </w:p>
        </w:tc>
        <w:tc>
          <w:tcPr>
            <w:tcW w:w="3191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</w:t>
            </w:r>
          </w:p>
        </w:tc>
      </w:tr>
      <w:tr w:rsidR="00827BAA" w:rsidRPr="00827BAA" w:rsidTr="00827BAA">
        <w:tc>
          <w:tcPr>
            <w:tcW w:w="3190" w:type="dxa"/>
          </w:tcPr>
          <w:p w:rsidR="00827BAA" w:rsidRPr="00827BAA" w:rsidRDefault="00827BAA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Народилося</w:t>
            </w:r>
          </w:p>
        </w:tc>
        <w:tc>
          <w:tcPr>
            <w:tcW w:w="3190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191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827BAA" w:rsidRPr="00827BAA" w:rsidTr="00827BAA">
        <w:tc>
          <w:tcPr>
            <w:tcW w:w="3190" w:type="dxa"/>
          </w:tcPr>
          <w:p w:rsidR="00827BAA" w:rsidRPr="00827BAA" w:rsidRDefault="00827BAA" w:rsidP="007E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Померло</w:t>
            </w:r>
          </w:p>
        </w:tc>
        <w:tc>
          <w:tcPr>
            <w:tcW w:w="3190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191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827BAA" w:rsidRPr="00827BAA" w:rsidTr="00827BAA">
        <w:tc>
          <w:tcPr>
            <w:tcW w:w="3190" w:type="dxa"/>
          </w:tcPr>
          <w:p w:rsidR="00827BAA" w:rsidRPr="00827BAA" w:rsidRDefault="00827BAA" w:rsidP="00827B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Народжуваність %</w:t>
            </w:r>
          </w:p>
        </w:tc>
        <w:tc>
          <w:tcPr>
            <w:tcW w:w="3190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6,61</w:t>
            </w:r>
          </w:p>
        </w:tc>
        <w:tc>
          <w:tcPr>
            <w:tcW w:w="3191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6,53</w:t>
            </w:r>
          </w:p>
        </w:tc>
      </w:tr>
      <w:tr w:rsidR="00827BAA" w:rsidRPr="00827BAA" w:rsidTr="00827BAA">
        <w:tc>
          <w:tcPr>
            <w:tcW w:w="3190" w:type="dxa"/>
          </w:tcPr>
          <w:p w:rsidR="00827BAA" w:rsidRPr="00827BAA" w:rsidRDefault="00827BAA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смертність %</w:t>
            </w:r>
          </w:p>
        </w:tc>
        <w:tc>
          <w:tcPr>
            <w:tcW w:w="3190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11,67</w:t>
            </w:r>
          </w:p>
        </w:tc>
        <w:tc>
          <w:tcPr>
            <w:tcW w:w="3191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17,46</w:t>
            </w:r>
          </w:p>
        </w:tc>
      </w:tr>
      <w:tr w:rsidR="00827BAA" w:rsidRPr="00827BAA" w:rsidTr="00827BAA">
        <w:tc>
          <w:tcPr>
            <w:tcW w:w="3190" w:type="dxa"/>
          </w:tcPr>
          <w:p w:rsidR="00827BAA" w:rsidRPr="00827BAA" w:rsidRDefault="00827BAA" w:rsidP="00A12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Природний приріст</w:t>
            </w:r>
          </w:p>
        </w:tc>
        <w:tc>
          <w:tcPr>
            <w:tcW w:w="3190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-5,07</w:t>
            </w:r>
          </w:p>
        </w:tc>
        <w:tc>
          <w:tcPr>
            <w:tcW w:w="3191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-10,93</w:t>
            </w:r>
          </w:p>
        </w:tc>
      </w:tr>
    </w:tbl>
    <w:p w:rsidR="00827BAA" w:rsidRDefault="00827BAA" w:rsidP="00A1260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27BAA" w:rsidRDefault="00827BAA" w:rsidP="00A1260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93910" w:rsidRPr="00293910" w:rsidRDefault="00293910" w:rsidP="00A1260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27BAA" w:rsidRPr="00827BAA" w:rsidRDefault="00000CE9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BAA">
        <w:rPr>
          <w:rFonts w:ascii="Times New Roman" w:hAnsi="Times New Roman" w:cs="Times New Roman"/>
          <w:b/>
          <w:sz w:val="28"/>
          <w:szCs w:val="28"/>
          <w:lang w:val="uk-UA"/>
        </w:rPr>
        <w:t>Структура смертності за віком</w:t>
      </w:r>
    </w:p>
    <w:p w:rsidR="00827BAA" w:rsidRPr="00827BAA" w:rsidRDefault="00827BAA" w:rsidP="00D00762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7BAA" w:rsidRPr="00827BAA" w:rsidTr="00293910">
        <w:tc>
          <w:tcPr>
            <w:tcW w:w="2392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2393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</w:t>
            </w:r>
          </w:p>
        </w:tc>
        <w:tc>
          <w:tcPr>
            <w:tcW w:w="2393" w:type="dxa"/>
          </w:tcPr>
          <w:p w:rsidR="00827BAA" w:rsidRPr="00827BAA" w:rsidRDefault="00827BAA" w:rsidP="0082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P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1-го року</w:t>
            </w:r>
          </w:p>
        </w:tc>
        <w:tc>
          <w:tcPr>
            <w:tcW w:w="2393" w:type="dxa"/>
          </w:tcPr>
          <w:p w:rsidR="00827BAA" w:rsidRPr="00827BAA" w:rsidRDefault="00827BAA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827BAA" w:rsidRPr="00827BAA" w:rsidRDefault="00827BAA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BAA" w:rsidRPr="00827BAA" w:rsidTr="00293910">
        <w:tc>
          <w:tcPr>
            <w:tcW w:w="2392" w:type="dxa"/>
          </w:tcPr>
          <w:p w:rsidR="00827BAA" w:rsidRPr="00827BAA" w:rsidRDefault="00827BAA" w:rsidP="00827B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1-15</w:t>
            </w:r>
          </w:p>
        </w:tc>
        <w:tc>
          <w:tcPr>
            <w:tcW w:w="2393" w:type="dxa"/>
          </w:tcPr>
          <w:p w:rsidR="00827BAA" w:rsidRPr="00827BAA" w:rsidRDefault="00827BAA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827BAA" w:rsidRPr="00827BAA" w:rsidRDefault="00827BAA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BAA" w:rsidRPr="00827BAA" w:rsidTr="00293910">
        <w:tc>
          <w:tcPr>
            <w:tcW w:w="2392" w:type="dxa"/>
          </w:tcPr>
          <w:p w:rsidR="00827BAA" w:rsidRP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16-18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P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19-25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P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P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31-35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P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36-40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41-45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46-50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5,03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51-55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56-60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61-70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23,02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71-80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81-90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ніж 90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827BAA" w:rsidRPr="00827BAA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827BAA" w:rsidRPr="00827BAA" w:rsidTr="00293910">
        <w:tc>
          <w:tcPr>
            <w:tcW w:w="2392" w:type="dxa"/>
          </w:tcPr>
          <w:p w:rsidR="00827BAA" w:rsidRPr="00293910" w:rsidRDefault="00827BAA" w:rsidP="00D007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827BAA" w:rsidRPr="00293910" w:rsidRDefault="00293910" w:rsidP="002939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139</w:t>
            </w:r>
          </w:p>
        </w:tc>
        <w:tc>
          <w:tcPr>
            <w:tcW w:w="2393" w:type="dxa"/>
          </w:tcPr>
          <w:p w:rsidR="00827BAA" w:rsidRPr="00293910" w:rsidRDefault="00827BAA" w:rsidP="002939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27BAA" w:rsidRPr="00293910" w:rsidRDefault="00827BAA" w:rsidP="002939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00CE9" w:rsidRPr="00827BAA" w:rsidRDefault="00000CE9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AA" w:rsidRDefault="00827BAA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BAA" w:rsidRDefault="00827BAA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910" w:rsidRPr="00293910" w:rsidRDefault="00293910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CE9" w:rsidRPr="00A454D4" w:rsidRDefault="00000CE9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4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A454D4">
        <w:rPr>
          <w:rFonts w:ascii="Times New Roman" w:hAnsi="Times New Roman" w:cs="Times New Roman"/>
          <w:b/>
          <w:sz w:val="28"/>
          <w:szCs w:val="28"/>
          <w:lang w:val="uk-UA"/>
        </w:rPr>
        <w:t>труктура смертності по причинах</w:t>
      </w:r>
    </w:p>
    <w:p w:rsidR="00B73201" w:rsidRPr="00B73201" w:rsidRDefault="00B73201" w:rsidP="00D00762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Померло всього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 в працездатному віці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померлих в працездатному віці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25,9%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Серцево-судинні захворювання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 (63,3%)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Новоутворення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(10,8%)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нервової системи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(9,6%)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дихання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(4,3%)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травлення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(4,3%)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Сечостатева система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(0,7%)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Вроджені аномалії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(0,7%)</w:t>
            </w:r>
          </w:p>
        </w:tc>
      </w:tr>
      <w:tr w:rsidR="00B73201" w:rsidTr="00B73201">
        <w:tc>
          <w:tcPr>
            <w:tcW w:w="5353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Травми, отруєння</w:t>
            </w:r>
          </w:p>
        </w:tc>
        <w:tc>
          <w:tcPr>
            <w:tcW w:w="4218" w:type="dxa"/>
          </w:tcPr>
          <w:p w:rsidR="00B73201" w:rsidRDefault="00B73201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(5%)</w:t>
            </w:r>
          </w:p>
        </w:tc>
      </w:tr>
    </w:tbl>
    <w:p w:rsidR="00000CE9" w:rsidRPr="00A454D4" w:rsidRDefault="00000CE9" w:rsidP="00D00762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73201" w:rsidRDefault="00B73201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Смертність померлих від серцево-судинних захворювань постійно займає провідне місце і перевищує державні показники.</w:t>
      </w:r>
    </w:p>
    <w:p w:rsidR="00B73201" w:rsidRDefault="00B73201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201" w:rsidRPr="00A454D4" w:rsidRDefault="00A454D4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73201" w:rsidRPr="00A4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відвідувань до лікарів та </w:t>
      </w:r>
      <w:r w:rsidRPr="00A4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відвідувань </w:t>
      </w:r>
      <w:proofErr w:type="spellStart"/>
      <w:r w:rsidRPr="00A454D4">
        <w:rPr>
          <w:rFonts w:ascii="Times New Roman" w:hAnsi="Times New Roman" w:cs="Times New Roman"/>
          <w:b/>
          <w:sz w:val="28"/>
          <w:szCs w:val="28"/>
          <w:lang w:val="uk-UA"/>
        </w:rPr>
        <w:t>надому</w:t>
      </w:r>
      <w:proofErr w:type="spellEnd"/>
      <w:r w:rsidRPr="00A4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усього, та на 1 жителя району</w:t>
      </w:r>
    </w:p>
    <w:p w:rsidR="00A454D4" w:rsidRPr="00A454D4" w:rsidRDefault="00A454D4" w:rsidP="00D00762">
      <w:pPr>
        <w:pStyle w:val="a3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454D4" w:rsidTr="00A454D4">
        <w:tc>
          <w:tcPr>
            <w:tcW w:w="5353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18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22377</w:t>
            </w:r>
          </w:p>
        </w:tc>
      </w:tr>
      <w:tr w:rsidR="00A454D4" w:rsidTr="00A454D4">
        <w:tc>
          <w:tcPr>
            <w:tcW w:w="5353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Відвідуваність терапевтична</w:t>
            </w:r>
          </w:p>
        </w:tc>
        <w:tc>
          <w:tcPr>
            <w:tcW w:w="4218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14245</w:t>
            </w:r>
          </w:p>
        </w:tc>
      </w:tr>
      <w:tr w:rsidR="00A454D4" w:rsidTr="00A454D4">
        <w:tc>
          <w:tcPr>
            <w:tcW w:w="5353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Відвідуваність педіатрична</w:t>
            </w:r>
          </w:p>
        </w:tc>
        <w:tc>
          <w:tcPr>
            <w:tcW w:w="4218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7978</w:t>
            </w:r>
          </w:p>
        </w:tc>
      </w:tr>
      <w:tr w:rsidR="00A454D4" w:rsidTr="00A454D4">
        <w:tc>
          <w:tcPr>
            <w:tcW w:w="5353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Відвідуваність на 1 жителя</w:t>
            </w:r>
          </w:p>
        </w:tc>
        <w:tc>
          <w:tcPr>
            <w:tcW w:w="4218" w:type="dxa"/>
          </w:tcPr>
          <w:p w:rsidR="00A454D4" w:rsidRDefault="00A454D4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</w:tbl>
    <w:p w:rsidR="00A454D4" w:rsidRDefault="00A454D4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4D4" w:rsidRDefault="00A454D4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Питома вага прийнятих з приводу захворювань та </w:t>
      </w:r>
      <w:proofErr w:type="spellStart"/>
      <w:r w:rsidRPr="00A454D4">
        <w:rPr>
          <w:rFonts w:ascii="Times New Roman" w:hAnsi="Times New Roman" w:cs="Times New Roman"/>
          <w:b/>
          <w:sz w:val="28"/>
          <w:szCs w:val="28"/>
          <w:lang w:val="uk-UA"/>
        </w:rPr>
        <w:t>профоглядів</w:t>
      </w:r>
      <w:proofErr w:type="spellEnd"/>
    </w:p>
    <w:p w:rsidR="00A454D4" w:rsidRDefault="00A454D4" w:rsidP="00D00762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454D4" w:rsidTr="0002635E">
        <w:tc>
          <w:tcPr>
            <w:tcW w:w="5353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18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22377</w:t>
            </w:r>
          </w:p>
        </w:tc>
      </w:tr>
      <w:tr w:rsidR="00A454D4" w:rsidTr="0002635E">
        <w:tc>
          <w:tcPr>
            <w:tcW w:w="5353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 з приводу захворювань</w:t>
            </w:r>
          </w:p>
        </w:tc>
        <w:tc>
          <w:tcPr>
            <w:tcW w:w="4218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17690</w:t>
            </w:r>
          </w:p>
        </w:tc>
      </w:tr>
      <w:tr w:rsidR="00A454D4" w:rsidTr="0002635E">
        <w:tc>
          <w:tcPr>
            <w:tcW w:w="5353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приводу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профоглядів</w:t>
            </w:r>
            <w:proofErr w:type="spellEnd"/>
          </w:p>
        </w:tc>
        <w:tc>
          <w:tcPr>
            <w:tcW w:w="4218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4687</w:t>
            </w:r>
          </w:p>
        </w:tc>
      </w:tr>
      <w:tr w:rsidR="00A454D4" w:rsidTr="0002635E">
        <w:tc>
          <w:tcPr>
            <w:tcW w:w="5353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 з приводу захворювань</w:t>
            </w:r>
          </w:p>
        </w:tc>
        <w:tc>
          <w:tcPr>
            <w:tcW w:w="4218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71,1</w:t>
            </w:r>
          </w:p>
        </w:tc>
      </w:tr>
      <w:tr w:rsidR="00A454D4" w:rsidTr="0002635E">
        <w:tc>
          <w:tcPr>
            <w:tcW w:w="5353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Питома вага з приводу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профоглядів</w:t>
            </w:r>
            <w:proofErr w:type="spellEnd"/>
          </w:p>
        </w:tc>
        <w:tc>
          <w:tcPr>
            <w:tcW w:w="4218" w:type="dxa"/>
          </w:tcPr>
          <w:p w:rsidR="00A454D4" w:rsidRPr="0002635E" w:rsidRDefault="0002635E" w:rsidP="00D0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</w:t>
            </w:r>
          </w:p>
        </w:tc>
      </w:tr>
    </w:tbl>
    <w:p w:rsidR="00A454D4" w:rsidRDefault="00A454D4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35E" w:rsidRDefault="0002635E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Первинний вихід на інвалідність:</w:t>
      </w:r>
    </w:p>
    <w:p w:rsidR="0002635E" w:rsidRPr="0002635E" w:rsidRDefault="0002635E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35E">
        <w:rPr>
          <w:rFonts w:ascii="Times New Roman" w:hAnsi="Times New Roman" w:cs="Times New Roman"/>
          <w:sz w:val="28"/>
          <w:szCs w:val="28"/>
          <w:lang w:val="uk-UA"/>
        </w:rPr>
        <w:t>Діти – 1</w:t>
      </w:r>
    </w:p>
    <w:p w:rsidR="0002635E" w:rsidRDefault="0002635E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35E">
        <w:rPr>
          <w:rFonts w:ascii="Times New Roman" w:hAnsi="Times New Roman" w:cs="Times New Roman"/>
          <w:sz w:val="28"/>
          <w:szCs w:val="28"/>
          <w:lang w:val="uk-UA"/>
        </w:rPr>
        <w:t xml:space="preserve">Дорослі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635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02635E" w:rsidRDefault="0002635E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35E" w:rsidRDefault="0002635E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Медпрацівниками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«Галицинівський ЦПМСД» ведеться:</w:t>
      </w:r>
    </w:p>
    <w:p w:rsidR="006964DB" w:rsidRPr="006964DB" w:rsidRDefault="006964DB" w:rsidP="00D00762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2635E" w:rsidRDefault="0002635E" w:rsidP="00D00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 </w:t>
      </w:r>
      <w:r w:rsidR="006964DB">
        <w:rPr>
          <w:rFonts w:ascii="Times New Roman" w:hAnsi="Times New Roman" w:cs="Times New Roman"/>
          <w:sz w:val="28"/>
          <w:szCs w:val="28"/>
          <w:lang w:val="uk-UA"/>
        </w:rPr>
        <w:t>хворих з гепатитом В та С</w:t>
      </w:r>
    </w:p>
    <w:p w:rsidR="006964DB" w:rsidRDefault="006964DB" w:rsidP="00D00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орфанних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</w:t>
      </w:r>
    </w:p>
    <w:p w:rsidR="006964DB" w:rsidRDefault="006964DB" w:rsidP="00D00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 хворих на бронхіальну астму</w:t>
      </w:r>
    </w:p>
    <w:p w:rsidR="006964DB" w:rsidRDefault="006964DB" w:rsidP="00D00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 хворих на цукровий діабет</w:t>
      </w:r>
    </w:p>
    <w:p w:rsidR="006964DB" w:rsidRDefault="006964DB" w:rsidP="00D00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Реєстр хворих на гіпертонічну хворобу</w:t>
      </w:r>
    </w:p>
    <w:p w:rsidR="006964DB" w:rsidRDefault="006964DB" w:rsidP="00D00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онкохворих</w:t>
      </w:r>
      <w:proofErr w:type="spellEnd"/>
    </w:p>
    <w:p w:rsidR="006964DB" w:rsidRDefault="006964DB" w:rsidP="00D00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 хворих на туберкульоз</w:t>
      </w:r>
    </w:p>
    <w:p w:rsidR="006964DB" w:rsidRDefault="006964DB" w:rsidP="00D007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3910" w:rsidRPr="00293910" w:rsidRDefault="00293910" w:rsidP="00D007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4DB">
        <w:rPr>
          <w:rFonts w:ascii="Times New Roman" w:hAnsi="Times New Roman" w:cs="Times New Roman"/>
          <w:b/>
          <w:sz w:val="28"/>
          <w:szCs w:val="28"/>
          <w:lang w:val="uk-UA"/>
        </w:rPr>
        <w:t>Робота денного стаціонару:</w:t>
      </w:r>
    </w:p>
    <w:p w:rsidR="006964DB" w:rsidRPr="006964DB" w:rsidRDefault="006964DB" w:rsidP="00D00762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Поступило хворих – 746, проведено ліжко-днів – 5366 </w:t>
      </w:r>
    </w:p>
    <w:p w:rsidR="006964DB" w:rsidRPr="00B57410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910" w:rsidRPr="00B57410" w:rsidRDefault="00293910" w:rsidP="00D00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4DB" w:rsidRPr="006964DB" w:rsidRDefault="006964DB" w:rsidP="00D00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Проведено</w:t>
      </w:r>
      <w:r w:rsidRPr="006964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64DB" w:rsidRPr="006964DB" w:rsidRDefault="006964DB" w:rsidP="00D00762">
      <w:pPr>
        <w:pStyle w:val="a3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ЕКГ – 909 </w:t>
      </w: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Біохімічних досліджень – 173 </w:t>
      </w: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аналіз крові – 1385</w:t>
      </w: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аналіз сечі – 996 </w:t>
      </w:r>
    </w:p>
    <w:p w:rsidR="006964DB" w:rsidRDefault="006964DB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Цукор крові – 488</w:t>
      </w:r>
    </w:p>
    <w:p w:rsidR="006964DB" w:rsidRPr="00796273" w:rsidRDefault="006964DB" w:rsidP="00D00762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6273" w:rsidRDefault="00796273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біоматеріалу для діагностики коронавірусної інфекції</w:t>
      </w:r>
    </w:p>
    <w:p w:rsidR="00796273" w:rsidRDefault="00796273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методом ПЛР  - 583 , методом ІФА – 176 </w:t>
      </w:r>
    </w:p>
    <w:p w:rsidR="00367B83" w:rsidRDefault="00367B83" w:rsidP="00D00762">
      <w:pPr>
        <w:jc w:val="both"/>
        <w:rPr>
          <w:lang w:val="uk-UA"/>
        </w:rPr>
      </w:pPr>
    </w:p>
    <w:p w:rsidR="002B07D8" w:rsidRDefault="002B07D8" w:rsidP="00D00762">
      <w:pPr>
        <w:jc w:val="both"/>
        <w:rPr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Всього зареєстровано  247  осіб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інфекцією.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них станом на 01.01.21 на лікуванні – 91 особа, одужало – 152 особи, 4 особи померло. Проліковано у стаціонарі – 19  (9,7%).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Зареєстровано пневмоній – 155, з них пневмоній у хворих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інфекцію – 59. 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пік захворюваності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інфекцію щоденно працювала мобільна бригада в складі медичної сестри та водія для взяття біологічного матеріалу методом ПЛР та ІФА. Здійснювалося чергування медперсоналу в амбулаторіях ЦПМСД в вихідні та святкові дні для надання допомоги та здійснення програми лікувальних заходів хворим на корона вірусну інфекцію.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Профілактична робота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Профілактичний напрямок розвитку охорони здоров’я першочерговий у заходах щодо забезпечення здоров’я населення району. В 2020 році профілактичний напрямок ускладнився  через пандемію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  <w:lang w:val="uk-UA"/>
        </w:rPr>
        <w:t>-19. Але план профілактичних щеплень дітям до 1 року виконано на 100%. Робота по профілактиці туберкульозу серед дітей проведено на достатньому рівні.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Також відслідковувались вогнища туберкульозу, лікування та спостереження контактних як дорослих так і дітей. Кількість вогнищ туберкульозу на початок 2021 року – 14.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Враховуючи небезпеку ВІЛ-інфекції проводились тестування деяких груп населення. Виявлено 4 особи вперше.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Імунопрофілактика населення за 2020 рік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Максимальне охоплення населення профілактичними щепленнями є одним з пріоритетних завдань ЦПМСД. Вакцинація є найбільш ефективним засобом попередження інфекційних захворювань.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Імунобіологічні препарати Центр отримує централізовано з обласної бази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спецмедпостачання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Профілактичні щеплення дорослому та дитячому населенню здійснюються згідно календаря профілактичних щеплень. Для забезпечення своєчасного проведення профілактичних щеплень медичний працівник запрошує на вакцинацію осіб, які підлягають щепленню (якщо це діти – інформує батьків) у день, визначений для проведення щеплень.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року медичними працівниками проводиться робота з населенням щодо підвищення обізнаності та довіри до вакцинації.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Імунізація населення здійснюється згідно наказу МОЗ України №947 від 18.05.2018р. Робота з імунопрофілактики відображається в статистичних звітах.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профілактичних щеплень за 2020 рік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Обсяг щеплень вакциною БЦЖ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до 1 року та старші складає – 100% 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Проти поліомієліту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отримали щеплення 434 дитини (100%)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Проти дифтерії,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кашлюка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правця </w:t>
      </w:r>
      <w:r>
        <w:rPr>
          <w:rFonts w:ascii="Times New Roman" w:hAnsi="Times New Roman" w:cs="Times New Roman"/>
          <w:sz w:val="28"/>
          <w:szCs w:val="28"/>
          <w:lang w:val="uk-UA"/>
        </w:rPr>
        <w:t>охоплено вакцинацією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до 1 року та старші 224 дитини (100%)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Охоплено ревакцинацією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6 років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старші–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76 дітей із запланованих 115, що становить  66,1%. Низький показник зумовлений відсутністю вакцини в області.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Вакцину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АДП-м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отримали – 438 дітей та дорослих, що становить 90% із запланованих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Щеплення проти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гемофільної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інфекції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отримали 74 дитини  до 1 року (100%) та 66 дітей в 1 рік із 67 запланованих (98,5%)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Проти кору, паротиту та краснухи </w:t>
      </w:r>
      <w:r>
        <w:rPr>
          <w:rFonts w:ascii="Times New Roman" w:hAnsi="Times New Roman" w:cs="Times New Roman"/>
          <w:sz w:val="28"/>
          <w:szCs w:val="28"/>
          <w:lang w:val="uk-UA"/>
        </w:rPr>
        <w:t>вакциновано дітей в 1 рік – 66 (98,55%)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ревакциновано в 6 років 100 дітей (100%)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Проти гепатиту В </w:t>
      </w:r>
      <w:r>
        <w:rPr>
          <w:rFonts w:ascii="Times New Roman" w:hAnsi="Times New Roman" w:cs="Times New Roman"/>
          <w:sz w:val="28"/>
          <w:szCs w:val="28"/>
          <w:lang w:val="uk-UA"/>
        </w:rPr>
        <w:t>вакцинація дітей складає 100%, це 108 дитини із 108 запланованих.</w:t>
      </w:r>
    </w:p>
    <w:p w:rsidR="002B07D8" w:rsidRDefault="002B07D8" w:rsidP="002B07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3910" w:rsidRDefault="00293910" w:rsidP="002B07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7D8" w:rsidRPr="002B07D8" w:rsidRDefault="002B07D8" w:rsidP="002B07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FC9" w:rsidRDefault="009B3A20" w:rsidP="00647FC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Фінансові питання</w:t>
      </w:r>
    </w:p>
    <w:p w:rsidR="00DB5320" w:rsidRPr="00DB5320" w:rsidRDefault="00DB5320" w:rsidP="00647FC9">
      <w:pPr>
        <w:pStyle w:val="a3"/>
        <w:ind w:left="720"/>
        <w:jc w:val="both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9B3A20" w:rsidRPr="00CA624A" w:rsidRDefault="009B3A20" w:rsidP="009B3A2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624A">
        <w:rPr>
          <w:rFonts w:ascii="Times New Roman" w:hAnsi="Times New Roman" w:cs="Times New Roman"/>
          <w:sz w:val="28"/>
          <w:szCs w:val="28"/>
          <w:lang w:val="uk-UA"/>
        </w:rPr>
        <w:t>Дохідна частина на 202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A624A">
        <w:rPr>
          <w:rFonts w:ascii="Times New Roman" w:hAnsi="Times New Roman" w:cs="Times New Roman"/>
          <w:sz w:val="28"/>
          <w:szCs w:val="28"/>
          <w:lang w:val="uk-UA"/>
        </w:rPr>
        <w:t>рік 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Pr="00CA624A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наступних доходів:</w:t>
      </w:r>
    </w:p>
    <w:p w:rsidR="009B3A20" w:rsidRDefault="009B3A20" w:rsidP="009B3A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A624A">
        <w:rPr>
          <w:rFonts w:ascii="Times New Roman" w:hAnsi="Times New Roman" w:cs="Times New Roman"/>
          <w:sz w:val="28"/>
          <w:szCs w:val="28"/>
          <w:lang w:val="uk-UA"/>
        </w:rPr>
        <w:t>оходи від реалізації послуг з медичного обслуговування населення за програмою медичних гарантій згідно з договором з НСЗУ, обсяг яких у 202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A624A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склав 3 803 586,58</w:t>
      </w:r>
      <w:r w:rsidRPr="00CA624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9B3A20" w:rsidRDefault="009B3A20" w:rsidP="009B3A20">
      <w:pPr>
        <w:pStyle w:val="a5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9B3A20" w:rsidRDefault="009B3A20" w:rsidP="009B3A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624A">
        <w:rPr>
          <w:rFonts w:ascii="Times New Roman" w:hAnsi="Times New Roman" w:cs="Times New Roman"/>
          <w:sz w:val="28"/>
          <w:szCs w:val="28"/>
          <w:lang w:val="uk-UA"/>
        </w:rPr>
        <w:t xml:space="preserve">Дохід з місцевого бюджету за програмою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A624A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виділені кошти з сільського бюджету </w:t>
      </w:r>
      <w:proofErr w:type="spellStart"/>
      <w:r w:rsidRPr="00CA624A">
        <w:rPr>
          <w:rFonts w:ascii="Times New Roman" w:hAnsi="Times New Roman" w:cs="Times New Roman"/>
          <w:sz w:val="28"/>
          <w:szCs w:val="28"/>
          <w:lang w:val="uk-UA"/>
        </w:rPr>
        <w:t>Галицинівської</w:t>
      </w:r>
      <w:proofErr w:type="spellEnd"/>
      <w:r w:rsidRPr="00CA624A">
        <w:rPr>
          <w:rFonts w:ascii="Times New Roman" w:hAnsi="Times New Roman" w:cs="Times New Roman"/>
          <w:sz w:val="28"/>
          <w:szCs w:val="28"/>
          <w:lang w:val="uk-UA"/>
        </w:rPr>
        <w:t xml:space="preserve"> ОТГ). За програмою підтримки з 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у 2020 році  4 711 626,21</w:t>
      </w:r>
      <w:r w:rsidRPr="00CA624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9B3A20" w:rsidRPr="00860A23" w:rsidRDefault="009B3A20" w:rsidP="009B3A2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B3A20" w:rsidRDefault="009B3A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Видатки на заробітну плату склали в загальній сумі 5 262 279,72грн. (2 515 367,72грн. – за рахунок коштів НСЗУ, 2 746 912,00грн. – за рахунок коштів місцевого бюджету). За 2020рік значно зріс рівень заробітної плати медичних працівників. Так, середня заробітна плата лікарів склала 20 400,00грн., медичних сестер – 8 500,00грн. – 10 500,00грн. За 2020 рік було виплачено премій медичним працівникам на загальну суму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2A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2A94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2A9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>Всі працівники отримали матеріальну допомогу на оздоровлення в розмірі посадового окладу на суму 298 884грн.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сільської ради в 2020році було також придбано перетворювачі напруги та гелеві акумулятори на суму 95 964,00грн., встановлено ворота з хвірткою та металевий паркан в </w:t>
      </w:r>
      <w:proofErr w:type="spellStart"/>
      <w:r w:rsidR="009B3A20">
        <w:rPr>
          <w:rFonts w:ascii="Times New Roman" w:hAnsi="Times New Roman" w:cs="Times New Roman"/>
          <w:sz w:val="28"/>
          <w:szCs w:val="28"/>
          <w:lang w:val="uk-UA"/>
        </w:rPr>
        <w:t>Прибузькій</w:t>
      </w:r>
      <w:proofErr w:type="spellEnd"/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 АЗПСМ на суму 49 960,00грн. 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ремонти </w:t>
      </w:r>
      <w:r>
        <w:rPr>
          <w:rFonts w:ascii="Times New Roman" w:hAnsi="Times New Roman" w:cs="Times New Roman"/>
          <w:sz w:val="28"/>
          <w:szCs w:val="28"/>
          <w:lang w:val="uk-UA"/>
        </w:rPr>
        <w:t>ДОТ-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кабінетів в </w:t>
      </w:r>
      <w:proofErr w:type="spellStart"/>
      <w:r w:rsidR="009B3A20">
        <w:rPr>
          <w:rFonts w:ascii="Times New Roman" w:hAnsi="Times New Roman" w:cs="Times New Roman"/>
          <w:sz w:val="28"/>
          <w:szCs w:val="28"/>
          <w:lang w:val="uk-UA"/>
        </w:rPr>
        <w:t>Українківській</w:t>
      </w:r>
      <w:proofErr w:type="spellEnd"/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 АЗПСМ та </w:t>
      </w:r>
      <w:proofErr w:type="spellStart"/>
      <w:r w:rsidR="009B3A20">
        <w:rPr>
          <w:rFonts w:ascii="Times New Roman" w:hAnsi="Times New Roman" w:cs="Times New Roman"/>
          <w:sz w:val="28"/>
          <w:szCs w:val="28"/>
          <w:lang w:val="uk-UA"/>
        </w:rPr>
        <w:t>Прибузькій</w:t>
      </w:r>
      <w:proofErr w:type="spellEnd"/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 АЗПСМ на загальну суму 346 651,60грн.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НСЗУ було придбано кондиціонер на суму 14 640,00грн., 5 мобільних телефонів для амбулаторій на суму 11 994,00грн., паливно-мастильні матеріали на суму   183904,99грн. Проводились видатки на оплату послуг надання доступу до мережі Інтернет на загальну суму 21 840,00грн., запчастини для автомобілів на суму 22 512,16грн., канцтовари на суму            9 132,14грн., господарчі товари – 18 644,65грн., оплата послуг телефонного зв’язку – 11 986грн., заправка та технічне обслуговування картриджів та принтерів – 5 760,00грн., для підготовки до опалювального періоду було проведено технічне обслуговування газопроводів в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амбулаторіях, оплата за підключення до газу на загальну суму 11518,89грн., обстеження димоходів, вентиляції в амбулаторіях – 1965,99грн., придбано регулятор газовий для </w:t>
      </w:r>
      <w:proofErr w:type="spellStart"/>
      <w:r w:rsidR="009B3A20">
        <w:rPr>
          <w:rFonts w:ascii="Times New Roman" w:hAnsi="Times New Roman" w:cs="Times New Roman"/>
          <w:sz w:val="28"/>
          <w:szCs w:val="28"/>
          <w:lang w:val="uk-UA"/>
        </w:rPr>
        <w:t>Лупаревської</w:t>
      </w:r>
      <w:proofErr w:type="spellEnd"/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 АЗПСМ на суму 2 700,00грн.,проведено  страхування цивільно-правової відповідальності власників транспортних засобів на суму 2428,00грн., обслуговування бухгалтерських програм – 4 800,00грн., страхування членів мобільної бригади – 1 495,00грн., придання вакцин від вірусу грипу на суму 8937,50грн., оплата послуг медичної інформаційної системи HELSI на суму 14880,00грн. та інше.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>Також, 05.10.2020 було укладено договір з НСЗУ по мобільній медичній</w:t>
      </w:r>
      <w:r w:rsidR="009B3A20" w:rsidRPr="00954024">
        <w:rPr>
          <w:rFonts w:ascii="Times New Roman" w:hAnsi="Times New Roman" w:cs="Times New Roman"/>
          <w:sz w:val="28"/>
          <w:szCs w:val="28"/>
          <w:lang w:val="uk-UA"/>
        </w:rPr>
        <w:t xml:space="preserve"> бригад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9B3A20" w:rsidRPr="00954024">
        <w:rPr>
          <w:rFonts w:ascii="Times New Roman" w:hAnsi="Times New Roman" w:cs="Times New Roman"/>
          <w:sz w:val="28"/>
          <w:szCs w:val="28"/>
          <w:lang w:val="uk-UA"/>
        </w:rPr>
        <w:t xml:space="preserve"> що утворен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B3A20" w:rsidRPr="00954024">
        <w:rPr>
          <w:rFonts w:ascii="Times New Roman" w:hAnsi="Times New Roman" w:cs="Times New Roman"/>
          <w:sz w:val="28"/>
          <w:szCs w:val="28"/>
          <w:lang w:val="uk-UA"/>
        </w:rPr>
        <w:t xml:space="preserve">для реагування на гостру респіраторну хворобу COVID-19, спричинену </w:t>
      </w:r>
      <w:proofErr w:type="spellStart"/>
      <w:r w:rsidR="009B3A20" w:rsidRPr="0095402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9B3A20" w:rsidRPr="00954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A20" w:rsidRPr="0095402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9B3A20" w:rsidRPr="0095402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B3A20" w:rsidRPr="0095402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9B3A20" w:rsidRPr="00954024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. Отримано коштів по цьому договору в сумі 140 090,64грн. Медична сестра та водій мобільної бригади отримували доплату в розмірі 300% посадового окладу за фактично відпрацьований час (сума склала 20 540,92грн.). Також, за ці кошти було придбано засоби індивідуального захисту (халати одноразові, маски, респіратори, рукавички, </w:t>
      </w:r>
      <w:proofErr w:type="spellStart"/>
      <w:r w:rsidR="009B3A20">
        <w:rPr>
          <w:rFonts w:ascii="Times New Roman" w:hAnsi="Times New Roman" w:cs="Times New Roman"/>
          <w:sz w:val="28"/>
          <w:szCs w:val="28"/>
          <w:lang w:val="uk-UA"/>
        </w:rPr>
        <w:t>аплікатори</w:t>
      </w:r>
      <w:proofErr w:type="spellEnd"/>
      <w:r w:rsidR="009B3A20">
        <w:rPr>
          <w:rFonts w:ascii="Times New Roman" w:hAnsi="Times New Roman" w:cs="Times New Roman"/>
          <w:sz w:val="28"/>
          <w:szCs w:val="28"/>
          <w:lang w:val="uk-UA"/>
        </w:rPr>
        <w:t>, бахали), паливно-мастильні матеріали.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>За рахунок коштів сільської ради в 2020році були проведені такі видатки:</w:t>
      </w:r>
    </w:p>
    <w:p w:rsidR="009B3A20" w:rsidRDefault="009B3A20" w:rsidP="009B3A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продукти дитячого харчування (для дітей з малозабезпечених сімей) на суму 40179,28грн.</w:t>
      </w:r>
    </w:p>
    <w:p w:rsidR="009B3A20" w:rsidRDefault="009B3A20" w:rsidP="009B3A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оплату безкоштовних рецептів для отримання лікарських засобів на суму 233 236,69грн.</w:t>
      </w:r>
    </w:p>
    <w:p w:rsidR="009B3A20" w:rsidRDefault="009B3A20" w:rsidP="009B3A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медикаменти, вироби медичного призначення, засоби індивідуального захисту,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туб препарати, підгузків для дорослих та дітей  витрачено коштів на суму 337 046,92грн.</w:t>
      </w:r>
    </w:p>
    <w:p w:rsidR="009B3A20" w:rsidRDefault="009B3A20" w:rsidP="009B3A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комунальних послуг проводилась в  повному обсязі та склала  160 952,52грн.:</w:t>
      </w:r>
    </w:p>
    <w:p w:rsidR="009B3A20" w:rsidRDefault="009B3A20" w:rsidP="009B3A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 – 5091,15грн.</w:t>
      </w:r>
    </w:p>
    <w:p w:rsidR="009B3A20" w:rsidRDefault="009B3A20" w:rsidP="009B3A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енергія – 68952,73грн.</w:t>
      </w:r>
    </w:p>
    <w:p w:rsidR="009B3A20" w:rsidRDefault="009B3A20" w:rsidP="009B3A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Природний газ – 86908,64грн.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В 2020році підприємством отримано благодійної допомоги в натуральному виразі на суму 76 090,00грн., а саме від </w:t>
      </w:r>
      <w:proofErr w:type="spellStart"/>
      <w:r w:rsidR="009B3A20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 Грушина О.Б. – кисневий концентратор 7F-5 вартістю 26750,00грн.,</w:t>
      </w:r>
      <w:r w:rsidR="009B3A20" w:rsidRPr="002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20" w:rsidRPr="002964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B3A20" w:rsidRPr="002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20" w:rsidRPr="00296429">
        <w:rPr>
          <w:rFonts w:ascii="Times New Roman" w:hAnsi="Times New Roman" w:cs="Times New Roman"/>
          <w:sz w:val="28"/>
          <w:szCs w:val="28"/>
        </w:rPr>
        <w:t>благодійної</w:t>
      </w:r>
      <w:proofErr w:type="spellEnd"/>
      <w:r w:rsidR="009B3A20" w:rsidRPr="002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20" w:rsidRPr="0029642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B3A20" w:rsidRPr="00296429">
        <w:rPr>
          <w:rFonts w:ascii="Times New Roman" w:hAnsi="Times New Roman" w:cs="Times New Roman"/>
          <w:sz w:val="28"/>
          <w:szCs w:val="28"/>
        </w:rPr>
        <w:t xml:space="preserve"> “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Краща доля» кисневий концентратор </w:t>
      </w:r>
      <w:r w:rsidR="009B3A20">
        <w:rPr>
          <w:rFonts w:ascii="Times New Roman" w:hAnsi="Times New Roman" w:cs="Times New Roman"/>
          <w:sz w:val="28"/>
          <w:szCs w:val="28"/>
          <w:lang w:val="en-US"/>
        </w:rPr>
        <w:t>JAY</w:t>
      </w:r>
      <w:r w:rsidR="009B3A20" w:rsidRPr="00296429">
        <w:rPr>
          <w:rFonts w:ascii="Times New Roman" w:hAnsi="Times New Roman" w:cs="Times New Roman"/>
          <w:sz w:val="28"/>
          <w:szCs w:val="28"/>
        </w:rPr>
        <w:t>-10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 вартістю </w:t>
      </w:r>
      <w:r w:rsidR="009B3A20" w:rsidRPr="00296429">
        <w:rPr>
          <w:rFonts w:ascii="Times New Roman" w:hAnsi="Times New Roman" w:cs="Times New Roman"/>
          <w:sz w:val="28"/>
          <w:szCs w:val="28"/>
        </w:rPr>
        <w:t>49 340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>,00грн. Концентратори оприбутковані та взяті на облік.</w:t>
      </w: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Від Бази </w:t>
      </w:r>
      <w:proofErr w:type="spellStart"/>
      <w:r w:rsidR="009B3A20">
        <w:rPr>
          <w:rFonts w:ascii="Times New Roman" w:hAnsi="Times New Roman" w:cs="Times New Roman"/>
          <w:sz w:val="28"/>
          <w:szCs w:val="28"/>
          <w:lang w:val="uk-UA"/>
        </w:rPr>
        <w:t>спецмедпостачання</w:t>
      </w:r>
      <w:proofErr w:type="spellEnd"/>
      <w:r w:rsidR="009B3A20">
        <w:rPr>
          <w:rFonts w:ascii="Times New Roman" w:hAnsi="Times New Roman" w:cs="Times New Roman"/>
          <w:sz w:val="28"/>
          <w:szCs w:val="28"/>
          <w:lang w:val="uk-UA"/>
        </w:rPr>
        <w:t xml:space="preserve"> в 2020році за рахунок централізованих поставок було отримано медпрепаратів на загальну суму 134 017,92грн., а саме:</w:t>
      </w:r>
    </w:p>
    <w:p w:rsidR="009B3A20" w:rsidRDefault="009B3A20" w:rsidP="009B3A2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Вакцини для планової вакцинації населення громади – 63 418,97грн.</w:t>
      </w:r>
    </w:p>
    <w:p w:rsidR="009B3A20" w:rsidRDefault="009B3A20" w:rsidP="009B3A2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дезінфікуючі – 48 535,00грн.</w:t>
      </w:r>
    </w:p>
    <w:p w:rsidR="009B3A20" w:rsidRDefault="009B3A20" w:rsidP="009B3A2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індивідуального захисту – 17 507,45грн.</w:t>
      </w:r>
    </w:p>
    <w:p w:rsidR="009B3A20" w:rsidRDefault="009B3A20" w:rsidP="009B3A2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 тести на визначення COVID-19 – 4556,50грн.</w:t>
      </w:r>
    </w:p>
    <w:p w:rsidR="009B3A20" w:rsidRPr="00C30441" w:rsidRDefault="009B3A20" w:rsidP="009B3A20">
      <w:pPr>
        <w:pStyle w:val="a5"/>
        <w:ind w:left="7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A20" w:rsidRDefault="00DB5320" w:rsidP="009B3A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3A20"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заборгованість станом на 01.01.2021року відсутня. Всі оплати проводяться відповідно укладених договорів та виставлених рахунків.</w:t>
      </w:r>
    </w:p>
    <w:p w:rsidR="008C1392" w:rsidRDefault="008C1392" w:rsidP="008C13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392" w:rsidRDefault="008C1392" w:rsidP="008C13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Прогнозовані результати виконання планових завдань </w:t>
      </w:r>
      <w:proofErr w:type="spellStart"/>
      <w:r w:rsidRPr="00AB26F5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AB2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«Галицинівський ЦПМСД»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кінець 2021 року:</w:t>
      </w:r>
    </w:p>
    <w:p w:rsidR="008C1392" w:rsidRPr="00AB26F5" w:rsidRDefault="008C1392" w:rsidP="008C1392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належного рівня надання медичної допомоги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вакцинації від коронавірусної хвороби (СОVID-19)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онкозахворювань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ранніх стадіях 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якості організаційно-профілактичних заходів направлених на зменшення смертності населення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кабінету УЗ-досліджень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фізіотерапевтичного кабінету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кислородних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концентраторів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електровідсмоктувачів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всі амбулаторії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в штат ЦПМСД лікаря-гінеколога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лікарем-педіатром с.Прибузьке та с.Українка</w:t>
      </w:r>
    </w:p>
    <w:p w:rsidR="008C1392" w:rsidRPr="00BE016E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16E">
        <w:rPr>
          <w:rFonts w:ascii="Times New Roman" w:hAnsi="Times New Roman" w:cs="Times New Roman"/>
          <w:sz w:val="28"/>
          <w:szCs w:val="28"/>
          <w:lang w:val="uk-UA"/>
        </w:rPr>
        <w:t>Доведення табеля оснащення до 100%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нових амбулаторій в с.Галицинове та с.Лимани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акредитацію</w:t>
      </w:r>
    </w:p>
    <w:p w:rsidR="008C1392" w:rsidRDefault="008C1392" w:rsidP="008C1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укладання декларацій з пацієнтами на 90%</w:t>
      </w:r>
    </w:p>
    <w:p w:rsidR="002B07D8" w:rsidRDefault="002B07D8" w:rsidP="00D007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7D8" w:rsidRDefault="002B07D8" w:rsidP="002B07D8">
      <w:pPr>
        <w:rPr>
          <w:lang w:val="uk-UA"/>
        </w:rPr>
      </w:pPr>
    </w:p>
    <w:p w:rsidR="002B07D8" w:rsidRPr="002B07D8" w:rsidRDefault="002B07D8" w:rsidP="002B07D8">
      <w:pPr>
        <w:rPr>
          <w:sz w:val="16"/>
          <w:szCs w:val="16"/>
          <w:lang w:val="uk-UA"/>
        </w:rPr>
      </w:pPr>
    </w:p>
    <w:p w:rsidR="002B07D8" w:rsidRPr="002B07D8" w:rsidRDefault="002B07D8" w:rsidP="002B07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07D8" w:rsidRPr="002B07D8" w:rsidRDefault="002B07D8" w:rsidP="002B07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07D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2B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D8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2B0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А.ЛІ</w:t>
      </w:r>
      <w:proofErr w:type="gramStart"/>
      <w:r w:rsidRPr="002B07D8">
        <w:rPr>
          <w:rFonts w:ascii="Times New Roman" w:hAnsi="Times New Roman" w:cs="Times New Roman"/>
          <w:sz w:val="24"/>
          <w:szCs w:val="24"/>
        </w:rPr>
        <w:t>ФАНОВ</w:t>
      </w:r>
      <w:proofErr w:type="gramEnd"/>
      <w:r w:rsidRPr="002B0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00762" w:rsidRPr="002B07D8" w:rsidRDefault="00D00762" w:rsidP="002B07D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0762" w:rsidRPr="002B07D8" w:rsidSect="009B3A2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22A"/>
    <w:multiLevelType w:val="hybridMultilevel"/>
    <w:tmpl w:val="672C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30B1"/>
    <w:multiLevelType w:val="hybridMultilevel"/>
    <w:tmpl w:val="5886A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44690"/>
    <w:multiLevelType w:val="hybridMultilevel"/>
    <w:tmpl w:val="E80226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F6721F"/>
    <w:multiLevelType w:val="hybridMultilevel"/>
    <w:tmpl w:val="4F18CED2"/>
    <w:lvl w:ilvl="0" w:tplc="5A7A4C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6BF5"/>
    <w:multiLevelType w:val="hybridMultilevel"/>
    <w:tmpl w:val="C8340C1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07"/>
    <w:rsid w:val="00000CE9"/>
    <w:rsid w:val="0002635E"/>
    <w:rsid w:val="00293910"/>
    <w:rsid w:val="002B07D8"/>
    <w:rsid w:val="00367B83"/>
    <w:rsid w:val="004C5983"/>
    <w:rsid w:val="005C70CB"/>
    <w:rsid w:val="00647FC9"/>
    <w:rsid w:val="00674A67"/>
    <w:rsid w:val="006964DB"/>
    <w:rsid w:val="006B685B"/>
    <w:rsid w:val="00760F6E"/>
    <w:rsid w:val="00796273"/>
    <w:rsid w:val="00827BAA"/>
    <w:rsid w:val="008C1392"/>
    <w:rsid w:val="00960D80"/>
    <w:rsid w:val="009A496A"/>
    <w:rsid w:val="009B3A20"/>
    <w:rsid w:val="009C0D2A"/>
    <w:rsid w:val="00A07A0A"/>
    <w:rsid w:val="00A12607"/>
    <w:rsid w:val="00A454D4"/>
    <w:rsid w:val="00AB26F5"/>
    <w:rsid w:val="00AC4766"/>
    <w:rsid w:val="00B57410"/>
    <w:rsid w:val="00B73201"/>
    <w:rsid w:val="00BE016E"/>
    <w:rsid w:val="00BE31D8"/>
    <w:rsid w:val="00CA2C86"/>
    <w:rsid w:val="00D00762"/>
    <w:rsid w:val="00DB5320"/>
    <w:rsid w:val="00E97818"/>
    <w:rsid w:val="00E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607"/>
    <w:pPr>
      <w:spacing w:after="0" w:line="240" w:lineRule="auto"/>
    </w:pPr>
  </w:style>
  <w:style w:type="table" w:styleId="a4">
    <w:name w:val="Table Grid"/>
    <w:basedOn w:val="a1"/>
    <w:uiPriority w:val="59"/>
    <w:rsid w:val="009A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9B3A20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paragraph" w:styleId="a5">
    <w:name w:val="List Paragraph"/>
    <w:basedOn w:val="a"/>
    <w:uiPriority w:val="34"/>
    <w:qFormat/>
    <w:rsid w:val="009B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medcentr</dc:creator>
  <cp:keywords/>
  <dc:description/>
  <cp:lastModifiedBy>псмд-наташа</cp:lastModifiedBy>
  <cp:revision>17</cp:revision>
  <cp:lastPrinted>2021-02-11T09:47:00Z</cp:lastPrinted>
  <dcterms:created xsi:type="dcterms:W3CDTF">2021-02-08T21:45:00Z</dcterms:created>
  <dcterms:modified xsi:type="dcterms:W3CDTF">2021-02-11T09:51:00Z</dcterms:modified>
</cp:coreProperties>
</file>