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29" w:type="dxa"/>
        <w:tblInd w:w="2518" w:type="dxa"/>
        <w:tblLook w:val="04A0"/>
      </w:tblPr>
      <w:tblGrid>
        <w:gridCol w:w="6237"/>
        <w:gridCol w:w="992"/>
      </w:tblGrid>
      <w:tr w:rsidR="008E6362" w:rsidRPr="00303F66" w:rsidTr="00563C32">
        <w:trPr>
          <w:trHeight w:val="607"/>
        </w:trPr>
        <w:tc>
          <w:tcPr>
            <w:tcW w:w="62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6362" w:rsidRPr="008577AD" w:rsidRDefault="008E6362" w:rsidP="002E487E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  <w:r w:rsidRPr="008577AD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Додаток </w:t>
            </w:r>
            <w:r w:rsidR="005365C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>6</w:t>
            </w:r>
            <w:r w:rsidRPr="008577AD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8577AD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br/>
              <w:t xml:space="preserve">до </w:t>
            </w:r>
            <w:r w:rsidR="002E487E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>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62" w:rsidRPr="008577AD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</w:p>
        </w:tc>
      </w:tr>
      <w:tr w:rsidR="008E6362" w:rsidRPr="00303F66" w:rsidTr="00563C32">
        <w:trPr>
          <w:trHeight w:val="982"/>
        </w:trPr>
        <w:tc>
          <w:tcPr>
            <w:tcW w:w="6237" w:type="dxa"/>
            <w:vMerge/>
            <w:shd w:val="clear" w:color="auto" w:fill="auto"/>
          </w:tcPr>
          <w:p w:rsidR="008E6362" w:rsidRPr="008577AD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6362" w:rsidRPr="008577AD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</w:p>
        </w:tc>
      </w:tr>
    </w:tbl>
    <w:p w:rsidR="008E6362" w:rsidRPr="008577AD" w:rsidRDefault="008E6362" w:rsidP="001E7C89">
      <w:pPr>
        <w:pStyle w:val="a6"/>
        <w:shd w:val="clear" w:color="auto" w:fill="FFFFFF"/>
        <w:spacing w:after="0"/>
        <w:ind w:left="2835"/>
        <w:rPr>
          <w:rFonts w:ascii="Times New Roman" w:hAnsi="Times New Roman"/>
          <w:noProof/>
          <w:sz w:val="28"/>
          <w:szCs w:val="28"/>
          <w:lang w:val="ru-RU" w:eastAsia="uk-UA"/>
        </w:rPr>
      </w:pPr>
    </w:p>
    <w:p w:rsidR="007877B1" w:rsidRPr="008577AD" w:rsidRDefault="007877B1" w:rsidP="001E7C89">
      <w:pPr>
        <w:pStyle w:val="ae"/>
        <w:shd w:val="clear" w:color="auto" w:fill="FFFFFF"/>
        <w:spacing w:before="0" w:after="120"/>
        <w:rPr>
          <w:rFonts w:ascii="Times New Roman" w:hAnsi="Times New Roman"/>
          <w:noProof/>
          <w:sz w:val="28"/>
          <w:szCs w:val="28"/>
          <w:lang w:val="ru-RU" w:eastAsia="uk-UA"/>
        </w:rPr>
      </w:pPr>
      <w:r w:rsidRPr="008577AD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ПЕРЕЛІК </w:t>
      </w:r>
      <w:r w:rsidRPr="008577AD">
        <w:rPr>
          <w:rFonts w:ascii="Times New Roman" w:hAnsi="Times New Roman"/>
          <w:noProof/>
          <w:sz w:val="28"/>
          <w:szCs w:val="28"/>
          <w:lang w:val="ru-RU" w:eastAsia="uk-UA"/>
        </w:rPr>
        <w:br/>
        <w:t xml:space="preserve">пільг </w:t>
      </w:r>
      <w:r w:rsidR="00404F15" w:rsidRPr="008577AD">
        <w:rPr>
          <w:rFonts w:ascii="Times New Roman" w:hAnsi="Times New Roman"/>
          <w:noProof/>
          <w:sz w:val="28"/>
          <w:szCs w:val="28"/>
          <w:lang w:val="ru-RU" w:eastAsia="uk-UA"/>
        </w:rPr>
        <w:t>і</w:t>
      </w:r>
      <w:r w:rsidRPr="008577AD">
        <w:rPr>
          <w:rFonts w:ascii="Times New Roman" w:hAnsi="Times New Roman"/>
          <w:noProof/>
          <w:sz w:val="28"/>
          <w:szCs w:val="28"/>
          <w:lang w:val="ru-RU" w:eastAsia="uk-UA"/>
        </w:rPr>
        <w:t>з податку на нерухоме майно, відмінне від земельної ділянки, наданих за рішенням органу місцевого самоврядування</w:t>
      </w:r>
    </w:p>
    <w:tbl>
      <w:tblPr>
        <w:tblW w:w="4268" w:type="dxa"/>
        <w:tblInd w:w="93" w:type="dxa"/>
        <w:tblLook w:val="04A0"/>
      </w:tblPr>
      <w:tblGrid>
        <w:gridCol w:w="2283"/>
        <w:gridCol w:w="1985"/>
      </w:tblGrid>
      <w:tr w:rsidR="00974270" w:rsidRPr="00303F66" w:rsidTr="00867B58">
        <w:trPr>
          <w:trHeight w:val="375"/>
        </w:trPr>
        <w:tc>
          <w:tcPr>
            <w:tcW w:w="2283" w:type="dxa"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577AD" w:rsidRDefault="008577A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Cs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uk-UA"/>
              </w:rPr>
              <w:t>1451200000</w:t>
            </w:r>
          </w:p>
        </w:tc>
      </w:tr>
    </w:tbl>
    <w:p w:rsidR="007877B1" w:rsidRPr="00303F66" w:rsidRDefault="007877B1" w:rsidP="001E7C89">
      <w:pPr>
        <w:shd w:val="clear" w:color="auto" w:fill="FFFFFF"/>
        <w:rPr>
          <w:rFonts w:ascii="Times New Roman" w:hAnsi="Times New Roman"/>
          <w:noProof/>
          <w:sz w:val="20"/>
          <w:lang w:val="en-AU"/>
        </w:rPr>
      </w:pPr>
    </w:p>
    <w:tbl>
      <w:tblPr>
        <w:tblW w:w="515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2"/>
        <w:gridCol w:w="969"/>
        <w:gridCol w:w="1127"/>
        <w:gridCol w:w="1127"/>
        <w:gridCol w:w="1699"/>
        <w:gridCol w:w="1583"/>
        <w:gridCol w:w="1044"/>
        <w:gridCol w:w="2846"/>
        <w:gridCol w:w="3596"/>
      </w:tblGrid>
      <w:tr w:rsidR="002338CE" w:rsidRPr="00303F66" w:rsidTr="009E43ED">
        <w:trPr>
          <w:trHeight w:val="253"/>
          <w:tblHeader/>
        </w:trPr>
        <w:tc>
          <w:tcPr>
            <w:tcW w:w="1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303F66" w:rsidRDefault="00867B5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Рішення</w:t>
            </w: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577AD" w:rsidRDefault="00867B5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8577AD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Орган місцевого самоврядування, що прийняв рішення</w:t>
            </w:r>
            <w:r w:rsidRPr="008577AD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3</w:t>
            </w:r>
          </w:p>
        </w:tc>
        <w:tc>
          <w:tcPr>
            <w:tcW w:w="2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577AD" w:rsidRDefault="00867B5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8577AD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Адміністративно-територіальні одиниці, для яких встановлені пільги</w:t>
            </w:r>
          </w:p>
        </w:tc>
      </w:tr>
      <w:tr w:rsidR="002338CE" w:rsidRPr="00303F66" w:rsidTr="009E43ED">
        <w:trPr>
          <w:trHeight w:val="312"/>
          <w:tblHeader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577AD" w:rsidRDefault="00867B5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4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577AD" w:rsidRDefault="00867B5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2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577AD" w:rsidRDefault="00867B5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9E43ED" w:rsidRPr="00303F66" w:rsidTr="009E43ED">
        <w:trPr>
          <w:trHeight w:val="20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дата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303F66" w:rsidRDefault="00070A0A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 набрання чинності</w:t>
            </w:r>
            <w:r w:rsidR="00870F6B"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577AD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8577AD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дата</w:t>
            </w:r>
            <w:r w:rsidR="00070A0A" w:rsidRPr="008577AD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, з якої застосо-вуються пільги</w:t>
            </w:r>
            <w:r w:rsidR="00870F6B" w:rsidRPr="008577AD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303F66" w:rsidRDefault="00867B58" w:rsidP="00950D6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 КАТОТТГ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950D6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 згідно з ЄДРПОУ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код </w:t>
            </w:r>
            <w:r w:rsidR="00950D69"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 з</w:t>
            </w:r>
            <w:r w:rsidR="00950D69"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br/>
            </w: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</w:tr>
      <w:tr w:rsidR="009E43ED" w:rsidRPr="00303F66" w:rsidTr="009E43ED">
        <w:trPr>
          <w:trHeight w:val="20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7B58" w:rsidRPr="00303F66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9</w:t>
            </w:r>
          </w:p>
        </w:tc>
      </w:tr>
      <w:tr w:rsidR="009E43ED" w:rsidRPr="00303F66" w:rsidTr="00625578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303F66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8577A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07.2026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Pr="008577A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Pr="008577A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8577A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8577AD" w:rsidRDefault="009E43ED" w:rsidP="009E43ED">
            <w:pPr>
              <w:shd w:val="clear" w:color="auto" w:fill="FFFFFF"/>
              <w:ind w:left="-107" w:right="-57" w:firstLine="5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Pr="008577A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8577A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UA48060070010025327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cело Галицинове у складі</w:t>
            </w:r>
          </w:p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Галицинівської сільської </w:t>
            </w:r>
          </w:p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територіальної громади у </w:t>
            </w:r>
          </w:p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Миколаївському районі </w:t>
            </w:r>
          </w:p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Миколаївської області, </w:t>
            </w:r>
          </w:p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адміністративний центр </w:t>
            </w:r>
          </w:p>
          <w:p w:rsidR="009E43ED" w:rsidRPr="008577A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територіальної громади</w:t>
            </w:r>
          </w:p>
        </w:tc>
      </w:tr>
      <w:tr w:rsidR="009E43ED" w:rsidRPr="00303F66" w:rsidTr="00625578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303F66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B16CE7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UA48060070020074284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Default="009E43ED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cело Лимани у складі</w:t>
            </w:r>
          </w:p>
          <w:p w:rsidR="009E43ED" w:rsidRDefault="009E43ED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Галицинівської сільської </w:t>
            </w:r>
          </w:p>
          <w:p w:rsidR="009E43ED" w:rsidRDefault="009E43ED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територіальної громади у </w:t>
            </w:r>
          </w:p>
          <w:p w:rsidR="009E43ED" w:rsidRDefault="009E43ED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Миколаївському районі у</w:t>
            </w:r>
          </w:p>
          <w:p w:rsidR="009E43ED" w:rsidRDefault="009E43ED" w:rsidP="002338C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Миколаївській області</w:t>
            </w:r>
          </w:p>
        </w:tc>
      </w:tr>
      <w:tr w:rsidR="009E43ED" w:rsidRPr="00303F66" w:rsidTr="00625578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2338CE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2338CE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ED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Pr="00B16CE7" w:rsidRDefault="009E43ED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UA48060070030015323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43ED" w:rsidRDefault="009E43ED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cело Лупареве у складі</w:t>
            </w:r>
          </w:p>
          <w:p w:rsidR="009E43ED" w:rsidRDefault="009E43ED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Галицинівської сільської </w:t>
            </w:r>
          </w:p>
          <w:p w:rsidR="009E43ED" w:rsidRDefault="009E43ED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lastRenderedPageBreak/>
              <w:t xml:space="preserve">територіальної громади у </w:t>
            </w:r>
          </w:p>
          <w:p w:rsidR="009E43ED" w:rsidRDefault="009E43ED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Миколаївському районі у</w:t>
            </w:r>
          </w:p>
          <w:p w:rsidR="009E43ED" w:rsidRDefault="009E43ED" w:rsidP="002338C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Миколаївській області</w:t>
            </w:r>
          </w:p>
        </w:tc>
      </w:tr>
      <w:tr w:rsidR="009E43ED" w:rsidRPr="00303F66" w:rsidTr="009E43ED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Pr="00303F66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UA48060070040087568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B16CE7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cело Прибузьке у складі</w:t>
            </w:r>
          </w:p>
          <w:p w:rsidR="00B16CE7" w:rsidRDefault="00B16CE7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Галицинівської сільської </w:t>
            </w:r>
          </w:p>
          <w:p w:rsidR="00B16CE7" w:rsidRDefault="00B16CE7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територіальної громади у </w:t>
            </w:r>
          </w:p>
          <w:p w:rsidR="00B16CE7" w:rsidRDefault="00B16CE7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Миколаївському районі</w:t>
            </w:r>
            <w:r w:rsidR="002338CE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 у</w:t>
            </w:r>
          </w:p>
          <w:p w:rsidR="00B16CE7" w:rsidRDefault="002338CE" w:rsidP="002338C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Миколаївській області</w:t>
            </w:r>
          </w:p>
        </w:tc>
      </w:tr>
      <w:tr w:rsidR="009E43ED" w:rsidRPr="00303F66" w:rsidTr="009E43ED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Pr="002338CE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Pr="002338CE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CE7" w:rsidRDefault="00B16CE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UA48060070050081596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6CE7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село Українка у складі </w:t>
            </w:r>
          </w:p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Галицинівської сільської</w:t>
            </w:r>
          </w:p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територіальної громади </w:t>
            </w:r>
          </w:p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у Миколаївському районі</w:t>
            </w:r>
          </w:p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у Миколаївській області</w:t>
            </w:r>
          </w:p>
        </w:tc>
      </w:tr>
      <w:tr w:rsidR="009E43ED" w:rsidRPr="00303F66" w:rsidTr="009E43ED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8CE" w:rsidRPr="002338CE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8CE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8CE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8CE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8CE" w:rsidRPr="002338CE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8CE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8CE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8CE" w:rsidRPr="002338CE" w:rsidRDefault="002338C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UA48060070060047043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селище Степова Долина</w:t>
            </w:r>
          </w:p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у складі Галицинівської </w:t>
            </w:r>
          </w:p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сільської територіальної </w:t>
            </w:r>
          </w:p>
          <w:p w:rsidR="006D6024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громади у </w:t>
            </w:r>
          </w:p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Миколаївському</w:t>
            </w:r>
          </w:p>
          <w:p w:rsid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районі у </w:t>
            </w:r>
          </w:p>
          <w:p w:rsidR="002338CE" w:rsidRPr="002338CE" w:rsidRDefault="002338CE" w:rsidP="00B16CE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Миколаївській області</w:t>
            </w:r>
          </w:p>
        </w:tc>
      </w:tr>
    </w:tbl>
    <w:p w:rsidR="00867B58" w:rsidRPr="002338CE" w:rsidRDefault="00867B58" w:rsidP="001E7C89">
      <w:pPr>
        <w:shd w:val="clear" w:color="auto" w:fill="FFFFFF"/>
        <w:rPr>
          <w:rFonts w:ascii="Calibri" w:hAnsi="Calibri"/>
          <w:noProof/>
          <w:lang w:val="ru-RU"/>
        </w:rPr>
      </w:pPr>
    </w:p>
    <w:tbl>
      <w:tblPr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"/>
        <w:gridCol w:w="2218"/>
        <w:gridCol w:w="10113"/>
        <w:gridCol w:w="1971"/>
      </w:tblGrid>
      <w:tr w:rsidR="00037E06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6E0972"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пільги</w:t>
            </w:r>
            <w:r w:rsidR="00867B58"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 w:rsidR="00867B58"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(за наявності)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Найменування пільги</w:t>
            </w:r>
            <w:r w:rsidR="00867B58"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Розмір пільги, відсотків</w:t>
            </w:r>
            <w:r w:rsidR="00867B58"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</w:p>
        </w:tc>
      </w:tr>
      <w:tr w:rsidR="00037E06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</w:tr>
      <w:tr w:rsidR="007877B1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4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577AD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577A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групою платників податків (за наявності):</w:t>
            </w:r>
          </w:p>
        </w:tc>
      </w:tr>
      <w:tr w:rsidR="00037E06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</w:t>
            </w:r>
            <w:r w:rsidR="00867B58"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9A64A9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A64A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Особи з інвалідністю першої та другої групи</w:t>
            </w:r>
            <w:r w:rsidR="00037E06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/будівлі житлові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9A64A9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A64A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</w:p>
        </w:tc>
      </w:tr>
      <w:tr w:rsidR="00037E06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4A9" w:rsidRPr="009A64A9" w:rsidRDefault="009A64A9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1.2.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4A9" w:rsidRPr="00303F66" w:rsidRDefault="009A64A9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4A9" w:rsidRPr="009A64A9" w:rsidRDefault="009A64A9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Фізичні особи, які виховують трьох і більше дітей віком до 18 років/будівлі житлові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4A9" w:rsidRPr="009A64A9" w:rsidRDefault="009A64A9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</w:p>
        </w:tc>
      </w:tr>
      <w:tr w:rsidR="00037E06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</w:t>
            </w:r>
            <w:r w:rsidR="00037E0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7E06" w:rsidRDefault="00037E06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Ветерани війни та особи, на яких поширюється дія Закону України «Про статус ветеранів </w:t>
            </w:r>
          </w:p>
          <w:p w:rsidR="007877B1" w:rsidRPr="00037E06" w:rsidRDefault="00037E06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війни, гарантії їх соціального захисту»/ будівлі житлові </w:t>
            </w:r>
            <w:r w:rsidR="007877B1"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37E06" w:rsidRDefault="00037E06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  <w:r w:rsidR="007877B1"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037E06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7E06" w:rsidRPr="00037E06" w:rsidRDefault="00037E06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7E06" w:rsidRPr="00303F66" w:rsidRDefault="00037E06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7E06" w:rsidRDefault="00037E06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Фізичні особи, визнані законом такими, які постраждали внаслідок Чорнобильської катастрофи/</w:t>
            </w:r>
          </w:p>
          <w:p w:rsidR="00FD6362" w:rsidRDefault="00FD6362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будівлі житлові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7E06" w:rsidRDefault="00FD6362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</w:p>
        </w:tc>
      </w:tr>
      <w:tr w:rsidR="007877B1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577AD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577A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класифікацією будівель (за наявності)</w:t>
            </w:r>
            <w:r w:rsidR="00867B58" w:rsidRPr="008577A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7</w:t>
            </w:r>
            <w:r w:rsidRPr="008577A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:</w:t>
            </w:r>
          </w:p>
        </w:tc>
      </w:tr>
      <w:tr w:rsidR="00037E06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</w:t>
            </w:r>
            <w:r w:rsidR="00867B58"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037E06" w:rsidRPr="00303F66" w:rsidTr="00423170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2.n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</w:tbl>
    <w:p w:rsidR="007877B1" w:rsidRPr="00303F66" w:rsidRDefault="00423170" w:rsidP="001E7C89">
      <w:pPr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  <w:r w:rsidRPr="00303F66">
        <w:rPr>
          <w:rFonts w:ascii="Times New Roman" w:hAnsi="Times New Roman"/>
          <w:noProof/>
          <w:sz w:val="28"/>
          <w:szCs w:val="28"/>
          <w:lang w:val="en-AU"/>
        </w:rPr>
        <w:t>_______</w:t>
      </w:r>
    </w:p>
    <w:p w:rsidR="00070A0A" w:rsidRPr="008577AD" w:rsidRDefault="00070A0A" w:rsidP="00901D9D">
      <w:pPr>
        <w:shd w:val="clear" w:color="auto" w:fill="FFFFFF"/>
        <w:ind w:left="1050" w:right="-539" w:hanging="1050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8577AD">
        <w:rPr>
          <w:rFonts w:ascii="Times New Roman" w:hAnsi="Times New Roman"/>
          <w:noProof/>
          <w:sz w:val="22"/>
          <w:szCs w:val="22"/>
          <w:lang w:val="ru-RU"/>
        </w:rPr>
        <w:t xml:space="preserve">Примітка. КАТОТТГ </w:t>
      </w:r>
      <w:r w:rsidR="00423170" w:rsidRPr="008577AD">
        <w:rPr>
          <w:rFonts w:ascii="Times New Roman" w:hAnsi="Times New Roman"/>
          <w:noProof/>
          <w:sz w:val="22"/>
          <w:szCs w:val="22"/>
          <w:lang w:val="ru-RU"/>
        </w:rPr>
        <w:t>-</w:t>
      </w:r>
      <w:r w:rsidRPr="008577AD">
        <w:rPr>
          <w:rFonts w:ascii="Times New Roman" w:hAnsi="Times New Roman"/>
          <w:noProof/>
          <w:sz w:val="22"/>
          <w:szCs w:val="22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8577AD">
        <w:rPr>
          <w:rFonts w:ascii="Times New Roman" w:hAnsi="Times New Roman"/>
          <w:noProof/>
          <w:sz w:val="22"/>
          <w:szCs w:val="22"/>
          <w:lang w:val="ru-RU"/>
        </w:rPr>
        <w:t>від 26 листопада 2020 р. № 290.</w:t>
      </w:r>
    </w:p>
    <w:p w:rsidR="00950D69" w:rsidRPr="008577AD" w:rsidRDefault="00950D69" w:rsidP="00950D69">
      <w:pPr>
        <w:shd w:val="clear" w:color="auto" w:fill="FFFFFF"/>
        <w:ind w:left="1050" w:hanging="1050"/>
        <w:jc w:val="both"/>
        <w:rPr>
          <w:rFonts w:ascii="Times New Roman" w:hAnsi="Times New Roman"/>
          <w:noProof/>
          <w:sz w:val="22"/>
          <w:szCs w:val="22"/>
          <w:lang w:val="ru-RU"/>
        </w:rPr>
      </w:pPr>
    </w:p>
    <w:tbl>
      <w:tblPr>
        <w:tblW w:w="5310" w:type="pct"/>
        <w:tblInd w:w="-34" w:type="dxa"/>
        <w:tblLook w:val="04A0"/>
      </w:tblPr>
      <w:tblGrid>
        <w:gridCol w:w="446"/>
        <w:gridCol w:w="14837"/>
      </w:tblGrid>
      <w:tr w:rsidR="00661FD4" w:rsidRPr="00303F66" w:rsidTr="00423170">
        <w:trPr>
          <w:trHeight w:val="20"/>
        </w:trPr>
        <w:tc>
          <w:tcPr>
            <w:tcW w:w="146" w:type="pct"/>
            <w:hideMark/>
          </w:tcPr>
          <w:p w:rsidR="00661FD4" w:rsidRPr="00303F66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4854" w:type="pct"/>
            <w:hideMark/>
          </w:tcPr>
          <w:p w:rsidR="00661FD4" w:rsidRPr="00303F66" w:rsidRDefault="00661FD4" w:rsidP="000C3CCB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661FD4" w:rsidRPr="00303F66" w:rsidTr="00423170">
        <w:trPr>
          <w:trHeight w:val="20"/>
        </w:trPr>
        <w:tc>
          <w:tcPr>
            <w:tcW w:w="146" w:type="pct"/>
          </w:tcPr>
          <w:p w:rsidR="00661FD4" w:rsidRPr="00303F66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854" w:type="pct"/>
          </w:tcPr>
          <w:p w:rsidR="00661FD4" w:rsidRPr="008577AD" w:rsidRDefault="00661FD4" w:rsidP="000C3CCB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Зазначається рішення органу місцевого самоврядування, яким встановлюються податкові пільги із сплати податку,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Як дата, з якої застосовуються пільги, зазначається дата, визначена в рішенні (у “базовому” рішенні, </w:t>
            </w:r>
            <w:r w:rsidR="00423170"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якщо зміни до нього не вносилися, або у рішенні, яким вносилися зміни щодо пільг).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661FD4" w:rsidRPr="00303F66" w:rsidTr="00423170">
        <w:trPr>
          <w:trHeight w:val="20"/>
        </w:trPr>
        <w:tc>
          <w:tcPr>
            <w:tcW w:w="146" w:type="pct"/>
          </w:tcPr>
          <w:p w:rsidR="00661FD4" w:rsidRPr="00303F66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</w:p>
        </w:tc>
        <w:tc>
          <w:tcPr>
            <w:tcW w:w="4854" w:type="pct"/>
          </w:tcPr>
          <w:p w:rsidR="00661FD4" w:rsidRPr="00303F66" w:rsidRDefault="00661FD4" w:rsidP="000C3CCB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661FD4" w:rsidRPr="00303F66" w:rsidTr="00423170">
        <w:trPr>
          <w:trHeight w:val="20"/>
        </w:trPr>
        <w:tc>
          <w:tcPr>
            <w:tcW w:w="146" w:type="pct"/>
          </w:tcPr>
          <w:p w:rsidR="00661FD4" w:rsidRPr="00303F66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854" w:type="pct"/>
          </w:tcPr>
          <w:p w:rsidR="00661FD4" w:rsidRPr="008577AD" w:rsidRDefault="00661FD4" w:rsidP="000C3CCB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661FD4" w:rsidRPr="00303F66" w:rsidTr="00423170">
        <w:trPr>
          <w:trHeight w:val="20"/>
        </w:trPr>
        <w:tc>
          <w:tcPr>
            <w:tcW w:w="146" w:type="pct"/>
          </w:tcPr>
          <w:p w:rsidR="00661FD4" w:rsidRPr="00303F66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854" w:type="pct"/>
          </w:tcPr>
          <w:p w:rsidR="00661FD4" w:rsidRPr="008577AD" w:rsidRDefault="00661FD4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Додатковий код зазначається у разі необхідності для певного коду пільги встановити додатковий розмір пільги (наприклад, для пільг, для яких визначаються додаткові умови або які поряд з основною пільгою діють протягом обмеженого періоду). </w:t>
            </w:r>
            <w:proofErr w:type="gramStart"/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 такому разі за рядком з потрібним кодом пільги додається новий рядок, у графі “</w:t>
            </w:r>
            <w:r w:rsidR="006E0972"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од” зазначається такий самий код, у графі “Додатковий код” </w:t>
            </w:r>
            <w:r w:rsidR="00423170"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код у цифровому форматі “хх” починаючи з 01, у графі “Найменування пільги” зазначається опис особливостей, згідно з якими встановлюється інший розмір пільги.</w:t>
            </w:r>
            <w:proofErr w:type="gramEnd"/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Для додаткових рядків заповнення графи “</w:t>
            </w:r>
            <w:r w:rsidR="00CE6F0D"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” обов’язкове. </w:t>
            </w:r>
          </w:p>
          <w:p w:rsidR="00661FD4" w:rsidRPr="008577AD" w:rsidRDefault="00661FD4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proofErr w:type="gramStart"/>
            <w:r w:rsidRPr="008577AD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Інформація щодо пільг не зазначається у разі прийняття рішень органами місцевого самоврядування про встановлення пільг на підставі рішень органів, зазначених у </w:t>
            </w:r>
            <w:hyperlink r:id="rId7" w:anchor="n611" w:tgtFrame="_blank" w:history="1">
              <w:r w:rsidRPr="008577AD">
                <w:rPr>
                  <w:rFonts w:ascii="Times New Roman" w:eastAsia="Calibri" w:hAnsi="Times New Roman"/>
                  <w:noProof/>
                  <w:sz w:val="22"/>
                  <w:szCs w:val="22"/>
                  <w:lang w:val="ru-RU" w:eastAsia="uk-UA"/>
                </w:rPr>
                <w:t>частині третій</w:t>
              </w:r>
            </w:hyperlink>
            <w:r w:rsidRPr="008577AD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статті 33 Кодексу цивільного захисту України (крім керівників суб’єктів господарювання) про обов’язкову евакуацію населення.</w:t>
            </w:r>
            <w:proofErr w:type="gramEnd"/>
          </w:p>
        </w:tc>
      </w:tr>
      <w:tr w:rsidR="00661FD4" w:rsidRPr="00303F66" w:rsidTr="00423170">
        <w:trPr>
          <w:trHeight w:val="20"/>
        </w:trPr>
        <w:tc>
          <w:tcPr>
            <w:tcW w:w="146" w:type="pct"/>
          </w:tcPr>
          <w:p w:rsidR="00661FD4" w:rsidRPr="00303F66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lastRenderedPageBreak/>
              <w:t>6</w:t>
            </w:r>
          </w:p>
        </w:tc>
        <w:tc>
          <w:tcPr>
            <w:tcW w:w="4854" w:type="pct"/>
          </w:tcPr>
          <w:p w:rsidR="00661FD4" w:rsidRPr="008577AD" w:rsidRDefault="00661FD4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Пільги визначаються з урахуванням норм підпункту 12.3.7 пункту 12.3 статті 12, пункту 30.2 статті 30, підпункту 266.4.2 пункту 266.4 статті 266 Податкового кодексу України. 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 кількість відсотків, на яку зменшується сума податкового зобов’язання на рік.</w:t>
            </w:r>
          </w:p>
        </w:tc>
      </w:tr>
      <w:tr w:rsidR="00D83FD2" w:rsidRPr="00303F66" w:rsidTr="00423170">
        <w:trPr>
          <w:trHeight w:val="1569"/>
        </w:trPr>
        <w:tc>
          <w:tcPr>
            <w:tcW w:w="146" w:type="pct"/>
          </w:tcPr>
          <w:p w:rsidR="00D83FD2" w:rsidRPr="00303F66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4854" w:type="pct"/>
          </w:tcPr>
          <w:p w:rsidR="00D83FD2" w:rsidRPr="008577AD" w:rsidRDefault="00D83FD2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proofErr w:type="gramStart"/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Зазначаються коди класифікації будівель</w:t>
            </w:r>
            <w:r w:rsidR="00D3542D"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та споруд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 для яких встановлюються пільги, або коди розділу 99 додатка 4 до Порядку та форм надання контролюючим органам в електронному вигляді інформації щодо ставок та податкових пільг із сплати місцевих податків та/або зборів, затверджених постановою Кабінету Міністрів України від 28</w:t>
            </w:r>
            <w:proofErr w:type="gramEnd"/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грудня 2020 р. № 1330 (Офіційний вісник України, 2021 р., № 4, ст. 222), </w:t>
            </w:r>
            <w:r w:rsidR="00423170"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в редакції постанови Кабінету Міністрів України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</w:r>
            <w:r w:rsidR="00991986"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 18 жовтня 2024 р. № 1191</w:t>
            </w:r>
            <w:r w:rsidRPr="008577A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 для яких встановлені ставки податку.</w:t>
            </w:r>
          </w:p>
        </w:tc>
      </w:tr>
    </w:tbl>
    <w:p w:rsidR="00950D69" w:rsidRPr="008577AD" w:rsidRDefault="00950D69" w:rsidP="00950D69">
      <w:pPr>
        <w:pStyle w:val="a5"/>
        <w:widowControl w:val="0"/>
        <w:shd w:val="clear" w:color="auto" w:fill="FFFFFF"/>
        <w:spacing w:before="60" w:line="228" w:lineRule="auto"/>
        <w:ind w:firstLine="284"/>
        <w:jc w:val="both"/>
        <w:rPr>
          <w:rFonts w:ascii="Times New Roman" w:hAnsi="Times New Roman"/>
          <w:noProof/>
          <w:sz w:val="22"/>
          <w:szCs w:val="22"/>
          <w:lang w:val="ru-RU" w:eastAsia="uk-UA"/>
        </w:rPr>
      </w:pPr>
    </w:p>
    <w:p w:rsidR="00D83FD2" w:rsidRPr="008577AD" w:rsidRDefault="00D83FD2" w:rsidP="00950D69">
      <w:pPr>
        <w:pStyle w:val="a5"/>
        <w:widowControl w:val="0"/>
        <w:shd w:val="clear" w:color="auto" w:fill="FFFFFF"/>
        <w:spacing w:before="60" w:line="228" w:lineRule="auto"/>
        <w:ind w:firstLine="284"/>
        <w:jc w:val="both"/>
        <w:rPr>
          <w:rFonts w:ascii="Times New Roman" w:hAnsi="Times New Roman"/>
          <w:noProof/>
          <w:sz w:val="22"/>
          <w:szCs w:val="22"/>
          <w:lang w:val="ru-RU" w:eastAsia="uk-UA"/>
        </w:rPr>
      </w:pPr>
    </w:p>
    <w:p w:rsidR="007877B1" w:rsidRPr="008577AD" w:rsidRDefault="007877B1" w:rsidP="001E7C89">
      <w:pPr>
        <w:shd w:val="clear" w:color="auto" w:fill="FFFFFF"/>
        <w:rPr>
          <w:noProof/>
          <w:vanish/>
          <w:lang w:val="ru-RU"/>
        </w:rPr>
      </w:pPr>
    </w:p>
    <w:tbl>
      <w:tblPr>
        <w:tblpPr w:leftFromText="180" w:rightFromText="180" w:vertAnchor="text" w:horzAnchor="margin" w:tblpY="41"/>
        <w:tblW w:w="5292" w:type="pct"/>
        <w:tblLayout w:type="fixed"/>
        <w:tblLook w:val="04A0"/>
      </w:tblPr>
      <w:tblGrid>
        <w:gridCol w:w="7506"/>
        <w:gridCol w:w="2647"/>
        <w:gridCol w:w="5078"/>
      </w:tblGrid>
      <w:tr w:rsidR="00950D69" w:rsidRPr="00303F66" w:rsidTr="00423170">
        <w:trPr>
          <w:trHeight w:val="390"/>
        </w:trPr>
        <w:tc>
          <w:tcPr>
            <w:tcW w:w="2464" w:type="pct"/>
            <w:hideMark/>
          </w:tcPr>
          <w:p w:rsidR="00950D69" w:rsidRPr="00FD6362" w:rsidRDefault="00FD6362" w:rsidP="001E7C89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Сільський голова</w:t>
            </w:r>
          </w:p>
        </w:tc>
        <w:tc>
          <w:tcPr>
            <w:tcW w:w="869" w:type="pct"/>
            <w:hideMark/>
          </w:tcPr>
          <w:p w:rsidR="00950D69" w:rsidRPr="00303F66" w:rsidRDefault="00950D69" w:rsidP="001E7C89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>__________</w:t>
            </w:r>
          </w:p>
          <w:p w:rsidR="00950D69" w:rsidRPr="00303F66" w:rsidRDefault="00950D69" w:rsidP="001E7C89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667" w:type="pct"/>
            <w:noWrap/>
            <w:hideMark/>
          </w:tcPr>
          <w:p w:rsidR="00950D69" w:rsidRPr="00FD6362" w:rsidRDefault="00FD6362" w:rsidP="001E7C89">
            <w:pPr>
              <w:pStyle w:val="a5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Іван НАЗАР</w:t>
            </w:r>
            <w:bookmarkStart w:id="0" w:name="_GoBack"/>
            <w:bookmarkEnd w:id="0"/>
          </w:p>
          <w:p w:rsidR="00950D69" w:rsidRPr="005365C6" w:rsidRDefault="00950D69" w:rsidP="001E7C89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  <w:r w:rsidRPr="005365C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(власне ім’я, прізвище)</w:t>
            </w:r>
          </w:p>
        </w:tc>
      </w:tr>
    </w:tbl>
    <w:p w:rsidR="00DC64C3" w:rsidRPr="005365C6" w:rsidRDefault="00DC64C3" w:rsidP="008F6F5C">
      <w:pPr>
        <w:pStyle w:val="3"/>
        <w:shd w:val="clear" w:color="auto" w:fill="FFFFFF"/>
        <w:spacing w:before="240"/>
        <w:ind w:left="0"/>
        <w:rPr>
          <w:i w:val="0"/>
          <w:noProof/>
          <w:lang w:val="ru-RU"/>
        </w:rPr>
      </w:pPr>
    </w:p>
    <w:sectPr w:rsidR="00DC64C3" w:rsidRPr="005365C6" w:rsidSect="008577AD">
      <w:headerReference w:type="even" r:id="rId8"/>
      <w:pgSz w:w="16840" w:h="11907" w:orient="landscape" w:code="9"/>
      <w:pgMar w:top="1134" w:right="1134" w:bottom="1531" w:left="1531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16" w:rsidRDefault="00C56B16">
      <w:r>
        <w:separator/>
      </w:r>
    </w:p>
  </w:endnote>
  <w:endnote w:type="continuationSeparator" w:id="1">
    <w:p w:rsidR="00C56B16" w:rsidRDefault="00C5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16" w:rsidRDefault="00C56B16">
      <w:r>
        <w:separator/>
      </w:r>
    </w:p>
  </w:footnote>
  <w:footnote w:type="continuationSeparator" w:id="1">
    <w:p w:rsidR="00C56B16" w:rsidRDefault="00C56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D2" w:rsidRDefault="00124344">
    <w:pPr>
      <w:framePr w:wrap="around" w:vAnchor="text" w:hAnchor="margin" w:xAlign="center" w:y="1"/>
    </w:pPr>
    <w:r>
      <w:fldChar w:fldCharType="begin"/>
    </w:r>
    <w:r w:rsidR="00D83FD2">
      <w:instrText xml:space="preserve">PAGE  </w:instrText>
    </w:r>
    <w:r>
      <w:fldChar w:fldCharType="separate"/>
    </w:r>
    <w:r w:rsidR="00D83FD2"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37E06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4344"/>
    <w:rsid w:val="0012587C"/>
    <w:rsid w:val="00134A4F"/>
    <w:rsid w:val="00144DF9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801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2076AD"/>
    <w:rsid w:val="00210F96"/>
    <w:rsid w:val="002326C4"/>
    <w:rsid w:val="002338CE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E487E"/>
    <w:rsid w:val="002F67F7"/>
    <w:rsid w:val="002F7FE7"/>
    <w:rsid w:val="0030061F"/>
    <w:rsid w:val="00303F66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3170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65C6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0F58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6024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162D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577AD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8F6F5C"/>
    <w:rsid w:val="00901D9D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1BA0"/>
    <w:rsid w:val="00983A0D"/>
    <w:rsid w:val="00985972"/>
    <w:rsid w:val="0098795E"/>
    <w:rsid w:val="00991986"/>
    <w:rsid w:val="009A306B"/>
    <w:rsid w:val="009A3556"/>
    <w:rsid w:val="009A64A9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43ED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3216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16CE7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56B16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250A"/>
    <w:rsid w:val="00D230F8"/>
    <w:rsid w:val="00D3481E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420E6"/>
    <w:rsid w:val="00E51A45"/>
    <w:rsid w:val="00E52532"/>
    <w:rsid w:val="00E62F63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C5C77"/>
    <w:rsid w:val="00ED08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D6362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344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124344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124344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24344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124344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434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124344"/>
    <w:pPr>
      <w:spacing w:before="120"/>
      <w:ind w:firstLine="567"/>
    </w:pPr>
  </w:style>
  <w:style w:type="paragraph" w:customStyle="1" w:styleId="a6">
    <w:name w:val="Шапка документу"/>
    <w:basedOn w:val="a"/>
    <w:rsid w:val="0012434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124344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12434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124344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124344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124344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124344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124344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12434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124344"/>
    <w:pPr>
      <w:ind w:firstLine="567"/>
      <w:jc w:val="both"/>
    </w:pPr>
  </w:style>
  <w:style w:type="paragraph" w:customStyle="1" w:styleId="ShapkaDocumentu">
    <w:name w:val="Shapka Documentu"/>
    <w:basedOn w:val="NormalText"/>
    <w:rsid w:val="00124344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03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4FC5-854F-4807-9227-B73A2333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669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14</cp:revision>
  <cp:lastPrinted>2026-05-15T05:30:00Z</cp:lastPrinted>
  <dcterms:created xsi:type="dcterms:W3CDTF">2024-10-22T12:05:00Z</dcterms:created>
  <dcterms:modified xsi:type="dcterms:W3CDTF">2026-07-03T10:14:00Z</dcterms:modified>
</cp:coreProperties>
</file>