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9D" w:rsidRDefault="00AD0B9D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D91" w:rsidRP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D91">
        <w:rPr>
          <w:rFonts w:ascii="Times New Roman" w:hAnsi="Times New Roman" w:cs="Times New Roman"/>
          <w:sz w:val="24"/>
          <w:szCs w:val="24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проведення закупівлі: Відновлення водопостачання населеного пункту після бойових дій.</w:t>
      </w:r>
    </w:p>
    <w:p w:rsidR="00AD0B9D" w:rsidRDefault="00AD0B9D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ворожих аварійних обстрілів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Прибузьке</w:t>
      </w:r>
      <w:proofErr w:type="spellEnd"/>
      <w:r w:rsidR="00F2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>постра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 xml:space="preserve">дала </w:t>
      </w:r>
      <w:r w:rsidR="00F21D91" w:rsidRPr="007A4942">
        <w:rPr>
          <w:rFonts w:ascii="Times New Roman" w:hAnsi="Times New Roman" w:cs="Times New Roman"/>
          <w:sz w:val="24"/>
          <w:szCs w:val="24"/>
        </w:rPr>
        <w:t>систем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21D91"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91" w:rsidRPr="007A494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9D" w:rsidRDefault="00AD0B9D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9D">
        <w:rPr>
          <w:rFonts w:ascii="Times New Roman" w:hAnsi="Times New Roman" w:cs="Times New Roman"/>
          <w:sz w:val="24"/>
          <w:szCs w:val="24"/>
        </w:rPr>
        <w:t xml:space="preserve">В поточному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B9D">
        <w:rPr>
          <w:rFonts w:ascii="Times New Roman" w:hAnsi="Times New Roman" w:cs="Times New Roman"/>
          <w:sz w:val="24"/>
          <w:szCs w:val="24"/>
        </w:rPr>
        <w:t xml:space="preserve">з 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стабілізацією</w:t>
      </w:r>
      <w:proofErr w:type="spellEnd"/>
      <w:proofErr w:type="gramEnd"/>
      <w:r w:rsidRPr="00AD0B9D">
        <w:rPr>
          <w:rFonts w:ascii="Times New Roman" w:hAnsi="Times New Roman" w:cs="Times New Roman"/>
          <w:sz w:val="24"/>
          <w:szCs w:val="24"/>
        </w:rPr>
        <w:t xml:space="preserve"> обстановки на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Прибузьке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знаходилась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зоні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 та повернення в населений пункт місцевих жителів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виникла необхідність в відновленні </w:t>
      </w:r>
      <w:r w:rsidRPr="00AD0B9D">
        <w:rPr>
          <w:rFonts w:ascii="Times New Roman" w:hAnsi="Times New Roman" w:cs="Times New Roman"/>
          <w:sz w:val="24"/>
          <w:szCs w:val="24"/>
          <w:lang w:val="uk-UA"/>
        </w:rPr>
        <w:t xml:space="preserve">системи водопостачання </w:t>
      </w:r>
      <w:proofErr w:type="spellStart"/>
      <w:r w:rsidRPr="00AD0B9D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Pr="00AD0B9D">
        <w:rPr>
          <w:rFonts w:ascii="Times New Roman" w:hAnsi="Times New Roman" w:cs="Times New Roman"/>
          <w:sz w:val="24"/>
          <w:szCs w:val="24"/>
          <w:lang w:val="uk-UA"/>
        </w:rPr>
        <w:t xml:space="preserve"> Галицинівської сільської ради по вул. Стадіонна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D0B9D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AD0B9D">
        <w:rPr>
          <w:rFonts w:ascii="Times New Roman" w:hAnsi="Times New Roman" w:cs="Times New Roman"/>
          <w:sz w:val="24"/>
          <w:szCs w:val="24"/>
          <w:lang w:val="uk-UA"/>
        </w:rPr>
        <w:t>Прибузьке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A4942" w:rsidRDefault="007A4942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потреб у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безперебійного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критичної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4942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7A49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ворожих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обстрілів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)  Галицинівською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радою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3954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03.03.2023 №2  ХХ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позачергової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восьмого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поточного ремонту  систем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водоп</w:t>
      </w:r>
      <w:r>
        <w:rPr>
          <w:rFonts w:ascii="Times New Roman" w:hAnsi="Times New Roman" w:cs="Times New Roman"/>
          <w:sz w:val="24"/>
          <w:szCs w:val="24"/>
        </w:rPr>
        <w:t>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700000 грн.</w:t>
      </w:r>
    </w:p>
    <w:p w:rsidR="00F21D91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U</w:t>
      </w:r>
      <w:r w:rsidR="00AD0B9D" w:rsidRPr="00AD0B9D">
        <w:rPr>
          <w:lang w:val="uk-UA"/>
        </w:rPr>
        <w:t xml:space="preserve"> </w:t>
      </w:r>
      <w:r w:rsidR="00AD0B9D" w:rsidRPr="00AD0B9D">
        <w:rPr>
          <w:rFonts w:ascii="Times New Roman" w:hAnsi="Times New Roman" w:cs="Times New Roman"/>
          <w:sz w:val="24"/>
          <w:szCs w:val="24"/>
          <w:lang w:val="uk-UA"/>
        </w:rPr>
        <w:t>A-2023-05-05-011380-a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AD0B9D" w:rsidRPr="00AD0B9D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системи водопостачання </w:t>
      </w:r>
      <w:proofErr w:type="spellStart"/>
      <w:r w:rsidR="00AD0B9D" w:rsidRPr="00AD0B9D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AD0B9D" w:rsidRPr="00AD0B9D">
        <w:rPr>
          <w:rFonts w:ascii="Times New Roman" w:hAnsi="Times New Roman" w:cs="Times New Roman"/>
          <w:sz w:val="24"/>
          <w:szCs w:val="24"/>
          <w:lang w:val="uk-UA"/>
        </w:rPr>
        <w:t xml:space="preserve"> Галицинівської сільської ради по вул. Стадіонна в с. </w:t>
      </w:r>
      <w:proofErr w:type="spellStart"/>
      <w:r w:rsidR="00AD0B9D" w:rsidRPr="00AD0B9D">
        <w:rPr>
          <w:rFonts w:ascii="Times New Roman" w:hAnsi="Times New Roman" w:cs="Times New Roman"/>
          <w:sz w:val="24"/>
          <w:szCs w:val="24"/>
          <w:lang w:val="uk-UA"/>
        </w:rPr>
        <w:t>Прибузьке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ДК 021:2015: 45330000-9 Водопровідні та санітарно-технічні роботи.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: 199 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>579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грн.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9543D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54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sz w:val="24"/>
          <w:szCs w:val="24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66E61" w:rsidRDefault="00F66E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proofErr w:type="gramStart"/>
      <w:r w:rsidRPr="007A49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="00AD0B9D"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відновлювальний період після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стану.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закупівлі: 1 послуга (</w:t>
      </w:r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роботи: очищення металевих конструкцій 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81EC5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66E61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., заміна </w:t>
      </w:r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зварювання металоконструкцій 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 xml:space="preserve">  -     13</w:t>
      </w:r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0 кг.,  заміна  силових кабелів – 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156 </w:t>
      </w:r>
      <w:proofErr w:type="spellStart"/>
      <w:r w:rsidR="00F66E61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="00F66E61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пошкодженого об’єкту від 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виділено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199 579 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Галицинове, вул. Центральна, будинок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 xml:space="preserve">, він має достатню кількість працівників, спеціальної техніки та опит роботи.  База підрядника знаходиться на території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bookmarkStart w:id="0" w:name="_GoBack"/>
      <w:bookmarkEnd w:id="0"/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9482B"/>
    <w:rsid w:val="002C1116"/>
    <w:rsid w:val="002E670F"/>
    <w:rsid w:val="002F3B86"/>
    <w:rsid w:val="00306061"/>
    <w:rsid w:val="0039543D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40EE7"/>
    <w:rsid w:val="008A3476"/>
    <w:rsid w:val="008C35E0"/>
    <w:rsid w:val="008D7E5E"/>
    <w:rsid w:val="008E4EDB"/>
    <w:rsid w:val="00921363"/>
    <w:rsid w:val="00952711"/>
    <w:rsid w:val="00956537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52D6D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5648B"/>
    <w:rsid w:val="00CC2428"/>
    <w:rsid w:val="00CD4C4D"/>
    <w:rsid w:val="00CE14CF"/>
    <w:rsid w:val="00CE1D98"/>
    <w:rsid w:val="00D02707"/>
    <w:rsid w:val="00D10F44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B5F"/>
    <w:rsid w:val="00F03C2D"/>
    <w:rsid w:val="00F06C9F"/>
    <w:rsid w:val="00F16C86"/>
    <w:rsid w:val="00F21D91"/>
    <w:rsid w:val="00F220BD"/>
    <w:rsid w:val="00F45ABC"/>
    <w:rsid w:val="00F66E6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ADC1-E961-4163-8419-6DB2382C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2023-05-08T09:43:00Z</dcterms:created>
  <dcterms:modified xsi:type="dcterms:W3CDTF">2023-05-08T11:15:00Z</dcterms:modified>
</cp:coreProperties>
</file>