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E6C5" w14:textId="77777777" w:rsidR="009E5BB0" w:rsidRDefault="009E5BB0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  <w:lang w:val="ru-RU"/>
        </w:rPr>
      </w:pPr>
    </w:p>
    <w:p w14:paraId="629A0921" w14:textId="77777777" w:rsidR="00123618" w:rsidRDefault="00123618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  <w:lang w:val="ru-RU"/>
        </w:rPr>
      </w:pPr>
    </w:p>
    <w:p w14:paraId="4A5D10AD" w14:textId="77777777" w:rsidR="00F220BD" w:rsidRPr="00952C5D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52C5D">
        <w:rPr>
          <w:b/>
          <w:color w:val="000000"/>
          <w:bdr w:val="none" w:sz="0" w:space="0" w:color="auto" w:frame="1"/>
        </w:rPr>
        <w:t>ОБҐРУНТУВАННЯ</w:t>
      </w:r>
    </w:p>
    <w:p w14:paraId="6F55A6F2" w14:textId="77777777" w:rsidR="00F220BD" w:rsidRPr="00952C5D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технічних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та 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якісних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характеристик предмета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закупівлі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його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очікуваної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вартості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та/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або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розміру</w:t>
      </w:r>
      <w:proofErr w:type="spellEnd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бюджетного </w:t>
      </w:r>
      <w:proofErr w:type="spellStart"/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призначення</w:t>
      </w:r>
      <w:proofErr w:type="spellEnd"/>
      <w:r w:rsidRPr="00952C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F2738C" w14:textId="77777777" w:rsidR="006F0E25" w:rsidRPr="00952C5D" w:rsidRDefault="006F0E25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478F69" w14:textId="77777777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1F5588E9" w14:textId="2F64CEC8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Мета проведення закупівлі: </w:t>
      </w:r>
      <w:r w:rsidR="00801C01" w:rsidRPr="00952C5D">
        <w:rPr>
          <w:rFonts w:ascii="Times New Roman" w:hAnsi="Times New Roman" w:cs="Times New Roman"/>
          <w:sz w:val="24"/>
          <w:szCs w:val="24"/>
          <w:lang w:val="uk-UA"/>
        </w:rPr>
        <w:t>забезпечення паливно-мастильними матеріалами транспортних засобів, що стоять на балансі сільської ради</w:t>
      </w:r>
      <w:r w:rsidR="00D633C9" w:rsidRPr="00952C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721D59" w14:textId="77777777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DCBCD8" w14:textId="77777777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Галицинівська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рада.</w:t>
      </w:r>
    </w:p>
    <w:p w14:paraId="7A457851" w14:textId="77777777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ЄДРПОУ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: 22440768.</w:t>
      </w:r>
    </w:p>
    <w:p w14:paraId="5625B110" w14:textId="4C72E036" w:rsidR="001A65AF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60375E">
        <w:rPr>
          <w:rFonts w:ascii="Times New Roman" w:hAnsi="Times New Roman" w:cs="Times New Roman"/>
          <w:sz w:val="24"/>
          <w:szCs w:val="24"/>
          <w:lang w:val="uk-UA"/>
        </w:rPr>
        <w:t xml:space="preserve"> запит ціни пропозицій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F06938B" w14:textId="1BDD43AF" w:rsidR="001A65AF" w:rsidRPr="00B05238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закупівлі:</w:t>
      </w:r>
      <w:r w:rsidR="00A502EA"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297" w:rsidRPr="00B05238">
        <w:rPr>
          <w:rFonts w:ascii="Times New Roman" w:hAnsi="Times New Roman" w:cs="Times New Roman"/>
          <w:sz w:val="24"/>
          <w:szCs w:val="24"/>
          <w:lang w:val="uk-UA"/>
        </w:rPr>
        <w:t>UA-2026-05-18-008376-a</w:t>
      </w:r>
      <w:r w:rsidR="00A502EA" w:rsidRPr="00B052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502EA" w:rsidRPr="00B052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572871" w14:textId="77777777" w:rsidR="001A65AF" w:rsidRPr="00B05238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502EA"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Паливно-мастильні матеріали (Бензин А-95 (Євро-5), дизельне паливо (Євро-5)». </w:t>
      </w:r>
    </w:p>
    <w:p w14:paraId="3CB75516" w14:textId="77777777" w:rsidR="00801C01" w:rsidRPr="00B05238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>Код ДК 021:2015:</w:t>
      </w:r>
      <w:r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1C01" w:rsidRPr="00B05238">
        <w:rPr>
          <w:rFonts w:ascii="Times New Roman" w:hAnsi="Times New Roman" w:cs="Times New Roman"/>
          <w:sz w:val="24"/>
          <w:szCs w:val="24"/>
          <w:lang w:val="uk-UA"/>
        </w:rPr>
        <w:t>ДК 021:2015: 09132000-3 Бензин,</w:t>
      </w:r>
      <w:r w:rsidR="00801C01" w:rsidRPr="00B05238">
        <w:rPr>
          <w:sz w:val="24"/>
          <w:szCs w:val="24"/>
        </w:rPr>
        <w:t xml:space="preserve"> </w:t>
      </w:r>
      <w:r w:rsidR="00801C01" w:rsidRPr="00B05238">
        <w:rPr>
          <w:rFonts w:ascii="Times New Roman" w:hAnsi="Times New Roman" w:cs="Times New Roman"/>
          <w:sz w:val="24"/>
          <w:szCs w:val="24"/>
          <w:lang w:val="uk-UA"/>
        </w:rPr>
        <w:t>ДК 021:2015: 09134200-9 Дизельне паливо</w:t>
      </w:r>
    </w:p>
    <w:p w14:paraId="60480542" w14:textId="35F67682" w:rsidR="001A65AF" w:rsidRPr="00B05238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Термін дії </w:t>
      </w:r>
      <w:r w:rsidRPr="00B05238">
        <w:rPr>
          <w:rFonts w:ascii="Times New Roman" w:hAnsi="Times New Roman" w:cs="Times New Roman"/>
          <w:b/>
          <w:sz w:val="24"/>
          <w:szCs w:val="24"/>
        </w:rPr>
        <w:t>догов</w:t>
      </w:r>
      <w:proofErr w:type="spellStart"/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>ору</w:t>
      </w:r>
      <w:proofErr w:type="spellEnd"/>
      <w:r w:rsidRPr="00B0523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05238">
        <w:rPr>
          <w:rFonts w:ascii="Times New Roman" w:hAnsi="Times New Roman" w:cs="Times New Roman"/>
          <w:sz w:val="24"/>
          <w:szCs w:val="24"/>
        </w:rPr>
        <w:t xml:space="preserve"> </w:t>
      </w:r>
      <w:r w:rsidR="00A502EA" w:rsidRPr="00B05238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35E11" w:rsidRPr="00B0523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502EA"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B052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E8DC4" w14:textId="3416DE8D" w:rsidR="004A7DCA" w:rsidRPr="00952C5D" w:rsidRDefault="004A7DCA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proofErr w:type="spellStart"/>
      <w:r w:rsidR="00D412AC" w:rsidRPr="00B05238">
        <w:rPr>
          <w:rFonts w:ascii="Times New Roman" w:hAnsi="Times New Roman" w:cs="Times New Roman"/>
          <w:b/>
          <w:sz w:val="24"/>
          <w:szCs w:val="24"/>
          <w:lang w:val="uk-UA"/>
        </w:rPr>
        <w:t>Плануєма</w:t>
      </w:r>
      <w:proofErr w:type="spellEnd"/>
      <w:r w:rsidR="00D412AC" w:rsidRPr="00B052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</w:t>
      </w:r>
      <w:r w:rsidRPr="00B05238">
        <w:rPr>
          <w:rFonts w:ascii="Times New Roman" w:hAnsi="Times New Roman" w:cs="Times New Roman"/>
          <w:b/>
          <w:sz w:val="24"/>
          <w:szCs w:val="24"/>
          <w:lang w:val="uk-UA"/>
        </w:rPr>
        <w:t>артість закупівлі:</w:t>
      </w:r>
      <w:r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297" w:rsidRPr="00B05238">
        <w:rPr>
          <w:rFonts w:ascii="Times New Roman" w:hAnsi="Times New Roman" w:cs="Times New Roman"/>
          <w:sz w:val="24"/>
          <w:szCs w:val="24"/>
          <w:lang w:val="uk-UA"/>
        </w:rPr>
        <w:t>584 110</w:t>
      </w:r>
      <w:r w:rsidRPr="00B05238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14:paraId="51917B68" w14:textId="77777777" w:rsidR="00A502EA" w:rsidRPr="00952C5D" w:rsidRDefault="00A502EA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83180" w14:textId="77777777" w:rsidR="004A7DCA" w:rsidRPr="00952C5D" w:rsidRDefault="001A65AF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20445" w:rsidRPr="00952C5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 (к</w:t>
      </w:r>
      <w:r w:rsidRPr="00952C5D">
        <w:rPr>
          <w:rFonts w:ascii="Times New Roman" w:hAnsi="Times New Roman" w:cs="Times New Roman"/>
          <w:b/>
          <w:sz w:val="24"/>
          <w:szCs w:val="24"/>
          <w:lang w:val="uk-UA"/>
        </w:rPr>
        <w:t>валіфікаційні критерії</w:t>
      </w:r>
      <w:r w:rsidR="00220445" w:rsidRPr="00952C5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A7DCA" w:rsidRPr="00952C5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7CFEAD7" w14:textId="77777777" w:rsidR="004A7DCA" w:rsidRPr="00952C5D" w:rsidRDefault="004A7DCA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71372A" w14:textId="77777777" w:rsidR="004A7DCA" w:rsidRPr="00952C5D" w:rsidRDefault="004A7DCA" w:rsidP="001D1AE6">
      <w:pPr>
        <w:widowControl w:val="0"/>
        <w:shd w:val="clear" w:color="auto" w:fill="FFFFFF"/>
        <w:tabs>
          <w:tab w:val="left" w:pos="7860"/>
        </w:tabs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52C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Інформація про технічні, якісні та кількісні характеристики предмета закупівлі </w:t>
      </w:r>
    </w:p>
    <w:tbl>
      <w:tblPr>
        <w:tblW w:w="96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5836"/>
      </w:tblGrid>
      <w:tr w:rsidR="004A7DCA" w:rsidRPr="00952C5D" w14:paraId="5C375CB2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DFFCD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B487E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EEA0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155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</w:t>
            </w:r>
            <w:proofErr w:type="spellEnd"/>
          </w:p>
        </w:tc>
      </w:tr>
      <w:tr w:rsidR="004A7DCA" w:rsidRPr="00952C5D" w14:paraId="06F8B4CE" w14:textId="77777777" w:rsidTr="004A7DCA">
        <w:trPr>
          <w:trHeight w:val="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BFA25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4358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C6203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A7DCA" w:rsidRPr="00952C5D" w14:paraId="4BE7AEEE" w14:textId="77777777" w:rsidTr="004A7DCA">
        <w:trPr>
          <w:trHeight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D00A8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EDAE3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Вид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1699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Бензин А-9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 (Євро-5), </w:t>
            </w:r>
          </w:p>
          <w:p w14:paraId="48DFC725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дизельне паливо (Євро-5)</w:t>
            </w:r>
          </w:p>
        </w:tc>
      </w:tr>
      <w:tr w:rsidR="004A7DCA" w:rsidRPr="00952C5D" w14:paraId="4A0E5358" w14:textId="77777777" w:rsidTr="004A7DCA">
        <w:trPr>
          <w:trHeight w:val="5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ECE29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7AB60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6495B" w14:textId="675555AB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Бензин А-95   – </w:t>
            </w:r>
            <w:r w:rsidR="00B05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4 800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літрів,</w:t>
            </w:r>
          </w:p>
          <w:p w14:paraId="46190CD6" w14:textId="1FADCC61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Дизельне паливо (відповідно до сезону)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– </w:t>
            </w:r>
            <w:r w:rsidR="00B05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2 792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літр</w:t>
            </w:r>
            <w:r w:rsidR="00B052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</w:t>
            </w:r>
          </w:p>
        </w:tc>
      </w:tr>
      <w:tr w:rsidR="004A7DCA" w:rsidRPr="00952C5D" w14:paraId="1A8DC75A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3C80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DB2B1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палива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D3958" w14:textId="77777777" w:rsidR="004A7DCA" w:rsidRPr="00952C5D" w:rsidRDefault="004A7DCA" w:rsidP="001D1AE6">
            <w:pPr>
              <w:shd w:val="clear" w:color="auto" w:fill="FFFFFF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</w:t>
            </w:r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повинна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умовам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встановленим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чинним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(ДСТУ).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Учасник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надає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засвідчити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якість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товару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належними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документами (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якості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тощо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кожний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вид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палива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4A7DCA" w:rsidRPr="00952C5D" w14:paraId="761E96F6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58E34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D37CE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2CEA5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до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повного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але не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менше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180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моменту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4A7DCA" w:rsidRPr="00952C5D" w14:paraId="3A7278C8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2417F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76ECB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Номінал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22A6E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10, 15, 20</w:t>
            </w: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літрів</w:t>
            </w:r>
            <w:proofErr w:type="spellEnd"/>
          </w:p>
        </w:tc>
      </w:tr>
      <w:tr w:rsidR="004A7DCA" w:rsidRPr="00952C5D" w14:paraId="52F96D4C" w14:textId="77777777" w:rsidTr="004A7DC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5AAF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3D719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передачі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талонів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(скретч-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A6A8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Протягом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E8B"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трь</w:t>
            </w:r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робочих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днів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дати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заявки</w:t>
            </w:r>
          </w:p>
        </w:tc>
      </w:tr>
      <w:tr w:rsidR="004A7DCA" w:rsidRPr="00952C5D" w14:paraId="494E7EF4" w14:textId="77777777" w:rsidTr="004A7DCA">
        <w:trPr>
          <w:trHeight w:val="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2D686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CAB52" w14:textId="77777777" w:rsidR="004A7DCA" w:rsidRPr="00952C5D" w:rsidRDefault="004A7DCA" w:rsidP="001D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заправлення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паливом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талонами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3E0E" w14:textId="77777777" w:rsidR="004A7DCA" w:rsidRPr="00952C5D" w:rsidRDefault="004A7DCA" w:rsidP="001D1AE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повинен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розширену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мережу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автозаправних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орендованих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партнерських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Миколаєва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Миколаївської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3A940D" w14:textId="77777777" w:rsidR="004A7DCA" w:rsidRPr="00952C5D" w:rsidRDefault="004A7DCA" w:rsidP="001D1AE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При цьому, 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t xml:space="preserve">Учасник гарантує наявність однієї АЗС, на якій буде здійснюватися відпуск пального Замовнику – в межах до 10 км від місця знаходження 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  <w:lastRenderedPageBreak/>
              <w:t>Замовника</w:t>
            </w:r>
            <w:r w:rsidRPr="00952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(приміщення селищної ради за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57286,  с. </w:t>
            </w:r>
            <w:proofErr w:type="spellStart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Галицинове</w:t>
            </w:r>
            <w:proofErr w:type="spellEnd"/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вул. Центральна, 1, Миколаївський р-н., Миколаївська обл.). </w:t>
            </w:r>
            <w:r w:rsidRPr="00952C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 партнерів АЗС.</w:t>
            </w:r>
          </w:p>
        </w:tc>
      </w:tr>
    </w:tbl>
    <w:p w14:paraId="63693460" w14:textId="77777777" w:rsidR="004A7DCA" w:rsidRPr="00952C5D" w:rsidRDefault="004A7DCA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952C5D">
        <w:rPr>
          <w:color w:val="000000"/>
        </w:rPr>
        <w:lastRenderedPageBreak/>
        <w:t xml:space="preserve">   </w:t>
      </w:r>
    </w:p>
    <w:p w14:paraId="560B29A1" w14:textId="77777777" w:rsidR="004A7DCA" w:rsidRPr="00952C5D" w:rsidRDefault="004A7DCA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та </w:t>
      </w:r>
      <w:proofErr w:type="spellStart"/>
      <w:r w:rsidRPr="00952C5D">
        <w:rPr>
          <w:color w:val="000000"/>
        </w:rPr>
        <w:t>якісні</w:t>
      </w:r>
      <w:proofErr w:type="spellEnd"/>
      <w:r w:rsidRPr="00952C5D">
        <w:rPr>
          <w:color w:val="000000"/>
        </w:rPr>
        <w:t xml:space="preserve"> характеристики предмету </w:t>
      </w:r>
      <w:proofErr w:type="spellStart"/>
      <w:r w:rsidRPr="00952C5D">
        <w:rPr>
          <w:color w:val="000000"/>
        </w:rPr>
        <w:t>закупівлі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повинні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відповідати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умовам</w:t>
      </w:r>
      <w:proofErr w:type="spellEnd"/>
      <w:r w:rsidRPr="00952C5D">
        <w:rPr>
          <w:color w:val="000000"/>
        </w:rPr>
        <w:t xml:space="preserve"> та стандартам, </w:t>
      </w:r>
      <w:proofErr w:type="spellStart"/>
      <w:r w:rsidRPr="00952C5D">
        <w:rPr>
          <w:color w:val="000000"/>
        </w:rPr>
        <w:t>передбаченим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діючим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законодавством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України</w:t>
      </w:r>
      <w:proofErr w:type="spellEnd"/>
      <w:r w:rsidRPr="00952C5D">
        <w:rPr>
          <w:color w:val="000000"/>
        </w:rPr>
        <w:t xml:space="preserve"> на </w:t>
      </w:r>
      <w:proofErr w:type="spellStart"/>
      <w:r w:rsidRPr="00952C5D">
        <w:rPr>
          <w:color w:val="000000"/>
        </w:rPr>
        <w:t>період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постачання</w:t>
      </w:r>
      <w:proofErr w:type="spellEnd"/>
      <w:r w:rsidRPr="00952C5D">
        <w:rPr>
          <w:color w:val="000000"/>
        </w:rPr>
        <w:t xml:space="preserve"> товару, а </w:t>
      </w:r>
      <w:proofErr w:type="spellStart"/>
      <w:r w:rsidRPr="00952C5D">
        <w:rPr>
          <w:color w:val="000000"/>
        </w:rPr>
        <w:t>саме</w:t>
      </w:r>
      <w:proofErr w:type="spellEnd"/>
      <w:r w:rsidRPr="00952C5D">
        <w:rPr>
          <w:color w:val="000000"/>
        </w:rPr>
        <w:t>: для бензину А-9</w:t>
      </w:r>
      <w:r w:rsidR="00372491" w:rsidRPr="00952C5D">
        <w:rPr>
          <w:color w:val="000000"/>
          <w:lang w:val="uk-UA"/>
        </w:rPr>
        <w:t>5</w:t>
      </w:r>
      <w:r w:rsidRPr="00952C5D">
        <w:rPr>
          <w:color w:val="000000"/>
        </w:rPr>
        <w:t xml:space="preserve"> ДСТУ 7687:2015 «</w:t>
      </w:r>
      <w:proofErr w:type="spellStart"/>
      <w:r w:rsidRPr="00952C5D">
        <w:rPr>
          <w:color w:val="000000"/>
        </w:rPr>
        <w:t>Бензини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автомобільні</w:t>
      </w:r>
      <w:proofErr w:type="spellEnd"/>
      <w:r w:rsidRPr="00952C5D">
        <w:rPr>
          <w:color w:val="000000"/>
        </w:rPr>
        <w:t xml:space="preserve"> ЄВРО.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умови</w:t>
      </w:r>
      <w:proofErr w:type="spellEnd"/>
      <w:r w:rsidRPr="00952C5D">
        <w:rPr>
          <w:color w:val="000000"/>
        </w:rPr>
        <w:t xml:space="preserve">» та для дизельного </w:t>
      </w:r>
      <w:proofErr w:type="spellStart"/>
      <w:r w:rsidRPr="00952C5D">
        <w:rPr>
          <w:color w:val="000000"/>
        </w:rPr>
        <w:t>палива</w:t>
      </w:r>
      <w:proofErr w:type="spellEnd"/>
      <w:r w:rsidRPr="00952C5D">
        <w:rPr>
          <w:color w:val="000000"/>
        </w:rPr>
        <w:t xml:space="preserve"> ДСТУ 7688:2015 «Топливо </w:t>
      </w:r>
      <w:proofErr w:type="spellStart"/>
      <w:r w:rsidRPr="00952C5D">
        <w:rPr>
          <w:color w:val="000000"/>
        </w:rPr>
        <w:t>дизельне</w:t>
      </w:r>
      <w:proofErr w:type="spellEnd"/>
      <w:r w:rsidRPr="00952C5D">
        <w:rPr>
          <w:color w:val="000000"/>
        </w:rPr>
        <w:t xml:space="preserve"> ЄВРО.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умови</w:t>
      </w:r>
      <w:proofErr w:type="spellEnd"/>
      <w:r w:rsidRPr="00952C5D">
        <w:rPr>
          <w:color w:val="000000"/>
        </w:rPr>
        <w:t xml:space="preserve">» і </w:t>
      </w:r>
      <w:proofErr w:type="spellStart"/>
      <w:r w:rsidRPr="00952C5D">
        <w:rPr>
          <w:color w:val="000000"/>
        </w:rPr>
        <w:t>підтверджуватися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Сертифікатом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відповідності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підприємства-виробника</w:t>
      </w:r>
      <w:proofErr w:type="spellEnd"/>
      <w:r w:rsidRPr="00952C5D">
        <w:rPr>
          <w:color w:val="000000"/>
        </w:rPr>
        <w:t xml:space="preserve"> та паспортами </w:t>
      </w:r>
      <w:proofErr w:type="spellStart"/>
      <w:r w:rsidRPr="00952C5D">
        <w:rPr>
          <w:color w:val="000000"/>
        </w:rPr>
        <w:t>якості</w:t>
      </w:r>
      <w:proofErr w:type="spellEnd"/>
      <w:r w:rsidRPr="00952C5D">
        <w:rPr>
          <w:color w:val="000000"/>
        </w:rPr>
        <w:t>.</w:t>
      </w:r>
    </w:p>
    <w:p w14:paraId="0548EEC4" w14:textId="77777777" w:rsidR="004A7DCA" w:rsidRPr="00952C5D" w:rsidRDefault="004A7DCA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</w:t>
      </w:r>
      <w:proofErr w:type="spellEnd"/>
      <w:r w:rsidRPr="00952C5D">
        <w:rPr>
          <w:color w:val="000000"/>
        </w:rPr>
        <w:t xml:space="preserve"> </w:t>
      </w:r>
      <w:r w:rsidRPr="00952C5D">
        <w:rPr>
          <w:color w:val="000000"/>
          <w:lang w:val="uk-UA"/>
        </w:rPr>
        <w:t xml:space="preserve">повинен  </w:t>
      </w:r>
      <w:r w:rsidRPr="00952C5D">
        <w:rPr>
          <w:color w:val="000000"/>
        </w:rPr>
        <w:t>гаранту</w:t>
      </w:r>
      <w:r w:rsidRPr="00952C5D">
        <w:rPr>
          <w:color w:val="000000"/>
          <w:lang w:val="uk-UA"/>
        </w:rPr>
        <w:t>вати</w:t>
      </w:r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нафтопродукти</w:t>
      </w:r>
      <w:proofErr w:type="spellEnd"/>
      <w:r w:rsidRPr="00952C5D">
        <w:rPr>
          <w:color w:val="000000"/>
        </w:rPr>
        <w:t xml:space="preserve"> є такими,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не </w:t>
      </w:r>
      <w:proofErr w:type="spellStart"/>
      <w:r w:rsidRPr="00952C5D">
        <w:rPr>
          <w:color w:val="000000"/>
        </w:rPr>
        <w:t>мають</w:t>
      </w:r>
      <w:proofErr w:type="spellEnd"/>
      <w:r w:rsidRPr="00952C5D">
        <w:rPr>
          <w:color w:val="000000"/>
        </w:rPr>
        <w:t xml:space="preserve"> негативного </w:t>
      </w:r>
      <w:proofErr w:type="spellStart"/>
      <w:r w:rsidRPr="00952C5D">
        <w:rPr>
          <w:color w:val="000000"/>
        </w:rPr>
        <w:t>впливу</w:t>
      </w:r>
      <w:proofErr w:type="spellEnd"/>
      <w:r w:rsidRPr="00952C5D">
        <w:rPr>
          <w:color w:val="000000"/>
        </w:rPr>
        <w:t xml:space="preserve"> на </w:t>
      </w:r>
      <w:proofErr w:type="spellStart"/>
      <w:r w:rsidRPr="00952C5D">
        <w:rPr>
          <w:color w:val="000000"/>
        </w:rPr>
        <w:t>навколишнє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довкілля</w:t>
      </w:r>
      <w:proofErr w:type="spellEnd"/>
      <w:r w:rsidRPr="00952C5D">
        <w:rPr>
          <w:color w:val="000000"/>
        </w:rPr>
        <w:t xml:space="preserve"> та </w:t>
      </w:r>
      <w:proofErr w:type="spellStart"/>
      <w:r w:rsidRPr="00952C5D">
        <w:rPr>
          <w:color w:val="000000"/>
        </w:rPr>
        <w:t>передбачає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застосування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необхідних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заходів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із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захисту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довкілля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тобто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гарантує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що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технічні</w:t>
      </w:r>
      <w:proofErr w:type="spellEnd"/>
      <w:r w:rsidRPr="00952C5D">
        <w:rPr>
          <w:color w:val="000000"/>
        </w:rPr>
        <w:t xml:space="preserve">, </w:t>
      </w:r>
      <w:proofErr w:type="spellStart"/>
      <w:r w:rsidRPr="00952C5D">
        <w:rPr>
          <w:color w:val="000000"/>
        </w:rPr>
        <w:t>якісні</w:t>
      </w:r>
      <w:proofErr w:type="spellEnd"/>
      <w:r w:rsidRPr="00952C5D">
        <w:rPr>
          <w:color w:val="000000"/>
        </w:rPr>
        <w:t xml:space="preserve"> характеристики предмета </w:t>
      </w:r>
      <w:proofErr w:type="spellStart"/>
      <w:r w:rsidRPr="00952C5D">
        <w:rPr>
          <w:color w:val="000000"/>
        </w:rPr>
        <w:t>закупівлі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відповідають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встановленим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законодавством</w:t>
      </w:r>
      <w:proofErr w:type="spellEnd"/>
      <w:r w:rsidRPr="00952C5D">
        <w:rPr>
          <w:color w:val="000000"/>
        </w:rPr>
        <w:t xml:space="preserve"> нормам. </w:t>
      </w:r>
      <w:proofErr w:type="spellStart"/>
      <w:r w:rsidRPr="00952C5D">
        <w:rPr>
          <w:color w:val="000000"/>
        </w:rPr>
        <w:t>Підтвердження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даної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інформації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забезпечується</w:t>
      </w:r>
      <w:proofErr w:type="spellEnd"/>
      <w:r w:rsidRPr="00952C5D">
        <w:rPr>
          <w:color w:val="000000"/>
        </w:rPr>
        <w:t xml:space="preserve"> шляхом </w:t>
      </w:r>
      <w:proofErr w:type="spellStart"/>
      <w:r w:rsidRPr="00952C5D">
        <w:rPr>
          <w:color w:val="000000"/>
        </w:rPr>
        <w:t>надання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Учасником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довідки</w:t>
      </w:r>
      <w:proofErr w:type="spellEnd"/>
      <w:r w:rsidRPr="00952C5D">
        <w:rPr>
          <w:color w:val="000000"/>
        </w:rPr>
        <w:t xml:space="preserve"> у </w:t>
      </w:r>
      <w:proofErr w:type="spellStart"/>
      <w:r w:rsidRPr="00952C5D">
        <w:rPr>
          <w:color w:val="000000"/>
        </w:rPr>
        <w:t>довільній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формі</w:t>
      </w:r>
      <w:proofErr w:type="spellEnd"/>
      <w:r w:rsidRPr="00952C5D">
        <w:rPr>
          <w:color w:val="000000"/>
        </w:rPr>
        <w:t>.</w:t>
      </w:r>
    </w:p>
    <w:p w14:paraId="59FC908C" w14:textId="77777777" w:rsidR="00365C9E" w:rsidRPr="00952C5D" w:rsidRDefault="00365C9E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Планування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замовником  здійснюється на підставі наявної потреби у закупівлі товарів, робіт і послуг. Згідно ч. 1 ст. 4 Закону України «Про публічні закупівлі» (далі – Закон) закупівля здійснюється відповідно до річного плану. </w:t>
      </w:r>
    </w:p>
    <w:p w14:paraId="518C536F" w14:textId="77777777" w:rsidR="002B2EB5" w:rsidRPr="00952C5D" w:rsidRDefault="00372491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  <w:proofErr w:type="spellStart"/>
      <w:r w:rsidRPr="00952C5D">
        <w:rPr>
          <w:color w:val="000000"/>
        </w:rPr>
        <w:t>Кількісні</w:t>
      </w:r>
      <w:proofErr w:type="spellEnd"/>
      <w:r w:rsidRPr="00952C5D">
        <w:rPr>
          <w:color w:val="000000"/>
        </w:rPr>
        <w:t xml:space="preserve"> характеристики </w:t>
      </w:r>
      <w:proofErr w:type="spellStart"/>
      <w:r w:rsidRPr="00952C5D">
        <w:rPr>
          <w:color w:val="000000"/>
        </w:rPr>
        <w:t>прораховуються</w:t>
      </w:r>
      <w:proofErr w:type="spellEnd"/>
      <w:r w:rsidRPr="00952C5D">
        <w:rPr>
          <w:color w:val="000000"/>
        </w:rPr>
        <w:t xml:space="preserve"> </w:t>
      </w:r>
      <w:r w:rsidRPr="00952C5D">
        <w:rPr>
          <w:color w:val="000000"/>
          <w:lang w:val="uk-UA"/>
        </w:rPr>
        <w:t>з врахуванням</w:t>
      </w:r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використан</w:t>
      </w:r>
      <w:r w:rsidRPr="00952C5D">
        <w:rPr>
          <w:color w:val="000000"/>
          <w:lang w:val="uk-UA"/>
        </w:rPr>
        <w:t>их</w:t>
      </w:r>
      <w:proofErr w:type="spellEnd"/>
      <w:r w:rsidRPr="00952C5D">
        <w:rPr>
          <w:color w:val="000000"/>
        </w:rPr>
        <w:t xml:space="preserve"> </w:t>
      </w:r>
      <w:r w:rsidRPr="00952C5D">
        <w:rPr>
          <w:color w:val="000000"/>
          <w:lang w:val="uk-UA"/>
        </w:rPr>
        <w:t>ПММ</w:t>
      </w:r>
      <w:r w:rsidRPr="00952C5D">
        <w:rPr>
          <w:color w:val="000000"/>
        </w:rPr>
        <w:t xml:space="preserve"> за </w:t>
      </w:r>
      <w:proofErr w:type="spellStart"/>
      <w:r w:rsidRPr="00952C5D">
        <w:rPr>
          <w:color w:val="000000"/>
        </w:rPr>
        <w:t>аналогічний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період</w:t>
      </w:r>
      <w:proofErr w:type="spellEnd"/>
      <w:r w:rsidRPr="00952C5D">
        <w:rPr>
          <w:color w:val="000000"/>
        </w:rPr>
        <w:t xml:space="preserve"> в </w:t>
      </w:r>
      <w:proofErr w:type="spellStart"/>
      <w:r w:rsidRPr="00952C5D">
        <w:rPr>
          <w:color w:val="000000"/>
        </w:rPr>
        <w:t>попередній</w:t>
      </w:r>
      <w:proofErr w:type="spellEnd"/>
      <w:r w:rsidRPr="00952C5D">
        <w:rPr>
          <w:color w:val="000000"/>
        </w:rPr>
        <w:t xml:space="preserve"> </w:t>
      </w:r>
      <w:proofErr w:type="spellStart"/>
      <w:r w:rsidRPr="00952C5D">
        <w:rPr>
          <w:color w:val="000000"/>
        </w:rPr>
        <w:t>рік</w:t>
      </w:r>
      <w:proofErr w:type="spellEnd"/>
      <w:r w:rsidRPr="00952C5D">
        <w:rPr>
          <w:color w:val="000000"/>
          <w:lang w:val="uk-UA"/>
        </w:rPr>
        <w:t xml:space="preserve"> та задач, які необхідно здійснити в період воєнного стану</w:t>
      </w:r>
      <w:r w:rsidRPr="00952C5D">
        <w:rPr>
          <w:color w:val="000000"/>
        </w:rPr>
        <w:t>.</w:t>
      </w:r>
    </w:p>
    <w:p w14:paraId="49421F4E" w14:textId="32F73A82" w:rsidR="00372491" w:rsidRPr="00952C5D" w:rsidRDefault="00372491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bdr w:val="none" w:sz="0" w:space="0" w:color="auto" w:frame="1"/>
          <w:lang w:val="uk-UA"/>
        </w:rPr>
      </w:pPr>
      <w:r w:rsidRPr="00952C5D">
        <w:rPr>
          <w:color w:val="000000"/>
          <w:lang w:val="uk-UA"/>
        </w:rPr>
        <w:t xml:space="preserve"> </w:t>
      </w:r>
      <w:r w:rsidR="002B2EB5" w:rsidRPr="00952C5D">
        <w:rPr>
          <w:lang w:val="uk-UA"/>
        </w:rPr>
        <w:t>Обсяг закупівлі визначається на підставі річного планування, а також з урахуванням потреби замовника в забезпеченні паливно-мастильними матеріалами власного автотранспорту.</w:t>
      </w:r>
    </w:p>
    <w:p w14:paraId="0C9ABC4B" w14:textId="5405281A" w:rsidR="007455D1" w:rsidRPr="00952C5D" w:rsidRDefault="007455D1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Внаслідок </w:t>
      </w:r>
      <w:r w:rsidR="005A7523">
        <w:rPr>
          <w:rFonts w:ascii="Times New Roman" w:hAnsi="Times New Roman" w:cs="Times New Roman"/>
          <w:sz w:val="24"/>
          <w:szCs w:val="24"/>
          <w:lang w:val="uk-UA"/>
        </w:rPr>
        <w:t>воєнних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дій постійно виникають проблеми з 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електро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- та водопостачанням в селах Прибузьке, Лимани,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Лупареве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, Степова Долина, Українка,  де значні пошкодження від обстрілів зазнали інженерні мережі, башти </w:t>
      </w:r>
      <w:proofErr w:type="spellStart"/>
      <w:r w:rsidRPr="00952C5D">
        <w:rPr>
          <w:rFonts w:ascii="Times New Roman" w:hAnsi="Times New Roman" w:cs="Times New Roman"/>
          <w:sz w:val="24"/>
          <w:szCs w:val="24"/>
          <w:lang w:val="uk-UA"/>
        </w:rPr>
        <w:t>Рожновського</w:t>
      </w:r>
      <w:proofErr w:type="spellEnd"/>
      <w:r w:rsidRPr="00952C5D">
        <w:rPr>
          <w:rFonts w:ascii="Times New Roman" w:hAnsi="Times New Roman" w:cs="Times New Roman"/>
          <w:sz w:val="24"/>
          <w:szCs w:val="24"/>
          <w:lang w:val="uk-UA"/>
        </w:rPr>
        <w:t>. Для швидкої ліквідації аварій та відновлення інфраструктури цих населених пунктів, забезпечення функціонування об’єктів критичної інфраструктури (водопровідні та електромережі, водопровідні свердловинах) необхідн</w:t>
      </w:r>
      <w:r w:rsidR="00ED3022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о забезпечити своєчасний виїзд </w:t>
      </w:r>
      <w:r w:rsidR="00114804" w:rsidRPr="00952C5D">
        <w:rPr>
          <w:rFonts w:ascii="Times New Roman" w:hAnsi="Times New Roman" w:cs="Times New Roman"/>
          <w:sz w:val="24"/>
          <w:szCs w:val="24"/>
          <w:lang w:val="uk-UA"/>
        </w:rPr>
        <w:t>спеціалістів на місця та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 надання </w:t>
      </w:r>
      <w:r w:rsidR="00ED3022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різних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послуг  транспортом. </w:t>
      </w:r>
    </w:p>
    <w:p w14:paraId="412C9803" w14:textId="67381F43" w:rsidR="00427838" w:rsidRPr="00952C5D" w:rsidRDefault="007455D1" w:rsidP="001D1AE6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lang w:val="uk-UA"/>
        </w:rPr>
      </w:pPr>
      <w:r w:rsidRPr="00952C5D">
        <w:rPr>
          <w:lang w:val="uk-UA"/>
        </w:rPr>
        <w:t>Додатково  існує значна потреба в бензині та дизельному паливі для забезпечення</w:t>
      </w:r>
      <w:r w:rsidR="008E49B3" w:rsidRPr="00952C5D">
        <w:rPr>
          <w:lang w:val="uk-UA"/>
        </w:rPr>
        <w:t>:</w:t>
      </w:r>
      <w:r w:rsidRPr="00952C5D">
        <w:rPr>
          <w:lang w:val="uk-UA"/>
        </w:rPr>
        <w:t xml:space="preserve"> роботи генераторів у зв’язку з систематичним плановим та позаплановим відключенням електроенергії</w:t>
      </w:r>
      <w:r w:rsidR="00B130E5" w:rsidRPr="00952C5D">
        <w:rPr>
          <w:lang w:val="uk-UA"/>
        </w:rPr>
        <w:t>,</w:t>
      </w:r>
      <w:r w:rsidR="00E35E11" w:rsidRPr="00952C5D">
        <w:rPr>
          <w:lang w:val="uk-UA"/>
        </w:rPr>
        <w:t xml:space="preserve"> доставки гуманітарних вантажів, ліквідації наслідків </w:t>
      </w:r>
      <w:r w:rsidR="008E49B3" w:rsidRPr="00952C5D">
        <w:rPr>
          <w:lang w:val="uk-UA"/>
        </w:rPr>
        <w:t>обстрілів</w:t>
      </w:r>
      <w:r w:rsidR="00E35E11" w:rsidRPr="00952C5D">
        <w:rPr>
          <w:lang w:val="uk-UA"/>
        </w:rPr>
        <w:t xml:space="preserve"> ворогом, надання допомоги населенню,  </w:t>
      </w:r>
      <w:r w:rsidR="00F40715" w:rsidRPr="00952C5D">
        <w:rPr>
          <w:lang w:val="uk-UA"/>
        </w:rPr>
        <w:t>води, продуктів харчування, одежі, хліба, дров для опалення, надання допомоги  в розбиранні зруйнованих будівель</w:t>
      </w:r>
      <w:r w:rsidR="002B2EB5" w:rsidRPr="00952C5D">
        <w:rPr>
          <w:lang w:val="uk-UA"/>
        </w:rPr>
        <w:t xml:space="preserve">, </w:t>
      </w:r>
      <w:r w:rsidR="00E35E11" w:rsidRPr="00952C5D">
        <w:rPr>
          <w:lang w:val="uk-UA"/>
        </w:rPr>
        <w:t>тощо.</w:t>
      </w:r>
      <w:r w:rsidR="00427838" w:rsidRPr="00952C5D">
        <w:rPr>
          <w:lang w:val="uk-UA"/>
        </w:rPr>
        <w:t xml:space="preserve"> Паливно-мастильні матеріали також  потрібні для облаштування місць проживання внутрішньо переміщених та евакуйованих осіб, перевезення їх речей. </w:t>
      </w:r>
    </w:p>
    <w:p w14:paraId="05251807" w14:textId="1D502370" w:rsidR="00427838" w:rsidRPr="00952C5D" w:rsidRDefault="00427838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В 202</w:t>
      </w:r>
      <w:r w:rsidR="006023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році замовником були укладені договори на закупівлю: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бензину</w:t>
      </w:r>
      <w:r w:rsidRPr="00952C5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 -    6 500   літрів, дизельного палива -         5 000  літрів.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869AD9E" w14:textId="571E1AE3" w:rsidR="00602336" w:rsidRDefault="00F67E8B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</w:t>
      </w:r>
      <w:r w:rsidR="007455D1"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стабільної 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>роботи автомобільної техніки та генераторів в 202</w:t>
      </w:r>
      <w:r w:rsidR="004451E9" w:rsidRPr="00952C5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52C5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4E6602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був укладений договір </w:t>
      </w:r>
      <w:r w:rsidR="00A208FC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A208FC" w:rsidRPr="00A208FC">
        <w:rPr>
          <w:rFonts w:ascii="Times New Roman" w:hAnsi="Times New Roman" w:cs="Times New Roman"/>
          <w:sz w:val="24"/>
          <w:szCs w:val="24"/>
          <w:lang w:val="uk-UA"/>
        </w:rPr>
        <w:t>ТОВ "КВОРУМ-НАФТА"</w:t>
      </w:r>
      <w:r w:rsidR="00A208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45928F5" w14:textId="52DFA347" w:rsidR="004E6602" w:rsidRPr="004E6602" w:rsidRDefault="004E6602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602">
        <w:rPr>
          <w:rFonts w:ascii="Times New Roman" w:hAnsi="Times New Roman" w:cs="Times New Roman"/>
          <w:sz w:val="24"/>
          <w:szCs w:val="24"/>
          <w:lang w:val="uk-UA"/>
        </w:rPr>
        <w:t>У зв'язку із значним зростанням цін в березні 2026 року на паливному ринку України, в тому числі на бензин та дизельне паливо, забороною  законодавства  їх збільшити  понад 10% по укладен</w:t>
      </w:r>
      <w:r w:rsidR="0073567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E6602">
        <w:rPr>
          <w:rFonts w:ascii="Times New Roman" w:hAnsi="Times New Roman" w:cs="Times New Roman"/>
          <w:sz w:val="24"/>
          <w:szCs w:val="24"/>
          <w:lang w:val="uk-UA"/>
        </w:rPr>
        <w:t xml:space="preserve"> раніше догов</w:t>
      </w:r>
      <w:r w:rsidR="0073567D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4E6602">
        <w:rPr>
          <w:rFonts w:ascii="Times New Roman" w:hAnsi="Times New Roman" w:cs="Times New Roman"/>
          <w:sz w:val="24"/>
          <w:szCs w:val="24"/>
          <w:lang w:val="uk-UA"/>
        </w:rPr>
        <w:t xml:space="preserve"> № СКБ-104 від 02.02.2026 був розірваний.</w:t>
      </w:r>
    </w:p>
    <w:p w14:paraId="0815BC88" w14:textId="3846B2DA" w:rsidR="004E6602" w:rsidRDefault="004E6602" w:rsidP="001D1AE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6602">
        <w:rPr>
          <w:rFonts w:ascii="Times New Roman" w:hAnsi="Times New Roman" w:cs="Times New Roman"/>
          <w:sz w:val="24"/>
          <w:szCs w:val="24"/>
          <w:lang w:val="uk-UA"/>
        </w:rPr>
        <w:t xml:space="preserve">Для подальшого  забезпечення роботи автомобільної техніки та генераторів в 2026 році необхідно </w:t>
      </w:r>
      <w:r w:rsidR="0073567D">
        <w:rPr>
          <w:rFonts w:ascii="Times New Roman" w:hAnsi="Times New Roman" w:cs="Times New Roman"/>
          <w:sz w:val="24"/>
          <w:szCs w:val="24"/>
          <w:lang w:val="uk-UA"/>
        </w:rPr>
        <w:t xml:space="preserve">додатково </w:t>
      </w:r>
      <w:r w:rsidRPr="004E6602">
        <w:rPr>
          <w:rFonts w:ascii="Times New Roman" w:hAnsi="Times New Roman" w:cs="Times New Roman"/>
          <w:sz w:val="24"/>
          <w:szCs w:val="24"/>
          <w:lang w:val="uk-UA"/>
        </w:rPr>
        <w:t>придбати  за новими цінами паливно-мастильні матеріали, а саме бензину 4 800 літрів, дизельного палива –  2 792 літри.</w:t>
      </w:r>
    </w:p>
    <w:p w14:paraId="6A7138CF" w14:textId="77777777" w:rsidR="001B1DD3" w:rsidRPr="00952C5D" w:rsidRDefault="001B1DD3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Постановою Кабінету Міністрів України від 12 жовтня 2022 р. № 1178 затверджені «Особливості здійснення публічних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- Особливості).</w:t>
      </w:r>
    </w:p>
    <w:p w14:paraId="149D5B62" w14:textId="77777777" w:rsidR="001B1DD3" w:rsidRPr="00952C5D" w:rsidRDefault="001B1DD3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Особливості встановлюють порядок та умови здійснення публічних </w:t>
      </w:r>
      <w:proofErr w:type="spellStart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- закупівлі) товарів, робіт і послуг для замовників, передбачених Законом України “Про публічні закупівлі” (далі -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</w:t>
      </w:r>
    </w:p>
    <w:p w14:paraId="73C76D94" w14:textId="3783C4E7" w:rsidR="001B1DD3" w:rsidRDefault="001B1DD3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2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14:paraId="3FD3EB4E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Станом на початок травня 2026 року в Миколаєві та області середня ціна на бензин А-95 становить близько 73,81 грн/л, дизпаливо — 87,50 грн/л, Ціни коливаються залежно від мережі АЗС, при цьому спостерігається тенденція до подорожчання.</w:t>
      </w:r>
    </w:p>
    <w:p w14:paraId="3FF6D325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Регіональні ціни на пальне Миколаївська обл.</w:t>
      </w:r>
    </w:p>
    <w:p w14:paraId="7B0F1B0A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Середні ціни на пальне на 15.05.2026</w:t>
      </w:r>
    </w:p>
    <w:p w14:paraId="0D8D3E5B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 палива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Ціна (грн.)</w:t>
      </w:r>
    </w:p>
    <w:p w14:paraId="7E9DD5F0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 преміум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77,58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0.17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0.215%</w:t>
      </w:r>
    </w:p>
    <w:p w14:paraId="082550D3" w14:textId="40EB09F0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</w:t>
      </w:r>
      <w:r w:rsidR="00F251FA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73,81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0.06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0.085%</w:t>
      </w:r>
    </w:p>
    <w:p w14:paraId="1A9A7337" w14:textId="6FED9CFD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Бензин А-92                      </w:t>
      </w:r>
      <w:r w:rsidR="00F251FA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67,69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0.25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0.371%</w:t>
      </w:r>
    </w:p>
    <w:p w14:paraId="3242C02D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Дизельне паливо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87,50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0.00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0%</w:t>
      </w:r>
    </w:p>
    <w:p w14:paraId="45D344DB" w14:textId="20C3D61D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Газ авто­мобільний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</w:t>
      </w:r>
      <w:r w:rsidR="00F251FA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47,26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-0.63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-1.305%</w:t>
      </w:r>
    </w:p>
    <w:p w14:paraId="55055C79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B982C5" w14:textId="77777777" w:rsidR="004914DB" w:rsidRPr="00492420" w:rsidRDefault="004914DB" w:rsidP="005A7523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цьому останні дні зберігається тенденція зростання ціни на  бензин марок А-92 та А-95</w:t>
      </w:r>
    </w:p>
    <w:p w14:paraId="6CDAA039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Borders>
          <w:top w:val="single" w:sz="6" w:space="0" w:color="115599"/>
          <w:bottom w:val="single" w:sz="6" w:space="0" w:color="11559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71"/>
        <w:gridCol w:w="1456"/>
        <w:gridCol w:w="1086"/>
        <w:gridCol w:w="1086"/>
        <w:gridCol w:w="1070"/>
        <w:gridCol w:w="1070"/>
      </w:tblGrid>
      <w:tr w:rsidR="004914DB" w:rsidRPr="00492420" w14:paraId="60586BA7" w14:textId="77777777" w:rsidTr="000859AC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15599"/>
            <w:vAlign w:val="center"/>
            <w:hideMark/>
          </w:tcPr>
          <w:p w14:paraId="1A4190B0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highlight w:val="yellow"/>
                <w:lang w:val="uk-UA" w:eastAsia="uk-UA"/>
              </w:rPr>
            </w:pPr>
            <w:r w:rsidRPr="00492420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highlight w:val="yellow"/>
                <w:lang w:val="uk-UA" w:eastAsia="uk-UA"/>
              </w:rPr>
              <w:t>Миколаївська обл. — ціни операторів на 15.05.2026 </w:t>
            </w:r>
            <w:r w:rsidRPr="00492420">
              <w:rPr>
                <w:rFonts w:ascii="Verdana" w:eastAsia="Times New Roman" w:hAnsi="Verdana" w:cs="Arial"/>
                <w:color w:val="000000"/>
                <w:sz w:val="24"/>
                <w:szCs w:val="24"/>
                <w:highlight w:val="yellow"/>
                <w:lang w:val="uk-UA" w:eastAsia="uk-UA"/>
              </w:rPr>
              <w:t>(грн./літр)</w:t>
            </w:r>
          </w:p>
        </w:tc>
      </w:tr>
      <w:tr w:rsidR="004914DB" w:rsidRPr="00492420" w14:paraId="779A58A4" w14:textId="77777777" w:rsidTr="000859AC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3B26DCF4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r w:rsidRPr="00492420">
              <w:rPr>
                <w:rFonts w:ascii="Verdana" w:eastAsia="Times New Roman" w:hAnsi="Verdana" w:cs="Arial"/>
                <w:b/>
                <w:bCs/>
                <w:color w:val="334466"/>
                <w:sz w:val="24"/>
                <w:szCs w:val="24"/>
                <w:highlight w:val="yellow"/>
                <w:lang w:val="uk-UA" w:eastAsia="uk-UA"/>
              </w:rPr>
              <w:t>Оператор</w:t>
            </w:r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5CF75D12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hyperlink r:id="rId8" w:tooltip="сортувати" w:history="1">
              <w:r w:rsidRPr="00492420">
                <w:rPr>
                  <w:rFonts w:ascii="Verdana" w:eastAsia="Times New Roman" w:hAnsi="Verdana" w:cs="Arial"/>
                  <w:b/>
                  <w:bCs/>
                  <w:color w:val="224488"/>
                  <w:sz w:val="24"/>
                  <w:szCs w:val="24"/>
                  <w:highlight w:val="yellow"/>
                  <w:u w:val="single"/>
                  <w:lang w:val="uk-UA" w:eastAsia="uk-UA"/>
                </w:rPr>
                <w:t>А 95+</w:t>
              </w:r>
            </w:hyperlink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18BA72FA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hyperlink r:id="rId9" w:tooltip="сортувати" w:history="1">
              <w:r w:rsidRPr="00492420">
                <w:rPr>
                  <w:rFonts w:ascii="Verdana" w:eastAsia="Times New Roman" w:hAnsi="Verdana" w:cs="Arial"/>
                  <w:b/>
                  <w:bCs/>
                  <w:color w:val="224488"/>
                  <w:sz w:val="24"/>
                  <w:szCs w:val="24"/>
                  <w:highlight w:val="yellow"/>
                  <w:u w:val="single"/>
                  <w:lang w:val="uk-UA" w:eastAsia="uk-UA"/>
                </w:rPr>
                <w:t>А 95</w:t>
              </w:r>
            </w:hyperlink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43D9A8D4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hyperlink r:id="rId10" w:tooltip="сортувати" w:history="1">
              <w:r w:rsidRPr="00492420">
                <w:rPr>
                  <w:rFonts w:ascii="Verdana" w:eastAsia="Times New Roman" w:hAnsi="Verdana" w:cs="Arial"/>
                  <w:b/>
                  <w:bCs/>
                  <w:color w:val="224488"/>
                  <w:sz w:val="24"/>
                  <w:szCs w:val="24"/>
                  <w:highlight w:val="yellow"/>
                  <w:u w:val="single"/>
                  <w:lang w:val="uk-UA" w:eastAsia="uk-UA"/>
                </w:rPr>
                <w:t>А 92</w:t>
              </w:r>
            </w:hyperlink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102E95D9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hyperlink r:id="rId11" w:tooltip="сортувати" w:history="1">
              <w:r w:rsidRPr="00492420">
                <w:rPr>
                  <w:rFonts w:ascii="Verdana" w:eastAsia="Times New Roman" w:hAnsi="Verdana" w:cs="Arial"/>
                  <w:b/>
                  <w:bCs/>
                  <w:color w:val="224488"/>
                  <w:sz w:val="24"/>
                  <w:szCs w:val="24"/>
                  <w:highlight w:val="yellow"/>
                  <w:u w:val="single"/>
                  <w:lang w:val="uk-UA" w:eastAsia="uk-UA"/>
                </w:rPr>
                <w:t>ДП</w:t>
              </w:r>
            </w:hyperlink>
          </w:p>
        </w:tc>
        <w:tc>
          <w:tcPr>
            <w:tcW w:w="0" w:type="auto"/>
            <w:tcBorders>
              <w:bottom w:val="single" w:sz="6" w:space="0" w:color="115599"/>
            </w:tcBorders>
            <w:shd w:val="clear" w:color="auto" w:fill="115599"/>
            <w:vAlign w:val="center"/>
            <w:hideMark/>
          </w:tcPr>
          <w:p w14:paraId="66376E96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Verdana" w:eastAsia="Times New Roman" w:hAnsi="Verdana" w:cs="Arial"/>
                <w:b/>
                <w:bCs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hyperlink r:id="rId12" w:tooltip="сортувати" w:history="1">
              <w:r w:rsidRPr="00492420">
                <w:rPr>
                  <w:rFonts w:ascii="Verdana" w:eastAsia="Times New Roman" w:hAnsi="Verdana" w:cs="Arial"/>
                  <w:b/>
                  <w:bCs/>
                  <w:color w:val="224488"/>
                  <w:sz w:val="24"/>
                  <w:szCs w:val="24"/>
                  <w:highlight w:val="yellow"/>
                  <w:u w:val="single"/>
                  <w:lang w:val="uk-UA" w:eastAsia="uk-UA"/>
                </w:rPr>
                <w:t>Газ</w:t>
              </w:r>
            </w:hyperlink>
          </w:p>
        </w:tc>
      </w:tr>
      <w:tr w:rsidR="004914DB" w:rsidRPr="00492420" w14:paraId="68287224" w14:textId="77777777" w:rsidTr="000859AC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74777D9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3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AMIC</w:t>
              </w:r>
            </w:hyperlink>
          </w:p>
        </w:tc>
        <w:tc>
          <w:tcPr>
            <w:tcW w:w="0" w:type="auto"/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DABCF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C44CDEF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75,99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69D2A55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71,99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6DD6EB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EDADF9E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86,99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DC1A01D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46,49</w:t>
            </w:r>
          </w:p>
        </w:tc>
      </w:tr>
      <w:tr w:rsidR="004914DB" w:rsidRPr="00492420" w14:paraId="5A8A6FFC" w14:textId="77777777" w:rsidTr="000859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AFC7B6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4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SOCAR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D7BE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6AD86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78,90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BC365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75,90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13F21B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BA550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87,90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1CE0C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48,98</w:t>
            </w:r>
          </w:p>
        </w:tc>
      </w:tr>
      <w:tr w:rsidR="004914DB" w:rsidRPr="00492420" w14:paraId="7DC90157" w14:textId="77777777" w:rsidTr="000859AC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BF6F748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5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UKRNAFTA</w:t>
              </w:r>
            </w:hyperlink>
          </w:p>
        </w:tc>
        <w:tc>
          <w:tcPr>
            <w:tcW w:w="0" w:type="auto"/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94BBE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45B6F8B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71,90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2D3182F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71,90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753CA79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66,90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48B4020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86,90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D27DFFE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47,90</w:t>
            </w:r>
          </w:p>
        </w:tc>
      </w:tr>
      <w:tr w:rsidR="004914DB" w:rsidRPr="00492420" w14:paraId="026AEEA8" w14:textId="77777777" w:rsidTr="000859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45605E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6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UPG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EB012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565AC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76,90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1A6E1A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74,90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FE7D3D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763EF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86,90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178FA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46,90</w:t>
            </w:r>
          </w:p>
        </w:tc>
      </w:tr>
      <w:tr w:rsidR="004914DB" w:rsidRPr="00492420" w14:paraId="6584E90F" w14:textId="77777777" w:rsidTr="000859AC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B5262B8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7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WOG</w:t>
              </w:r>
            </w:hyperlink>
          </w:p>
        </w:tc>
        <w:tc>
          <w:tcPr>
            <w:tcW w:w="0" w:type="auto"/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215D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2BF621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80,90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48E057D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77,90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775716B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F8CC3A7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89,90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3AB6D6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48,90</w:t>
            </w:r>
          </w:p>
        </w:tc>
      </w:tr>
      <w:tr w:rsidR="004914DB" w:rsidRPr="00492420" w14:paraId="191AEEE0" w14:textId="77777777" w:rsidTr="000859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EDE2EE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8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БРСМ-Нафта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78F50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1DB8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EF63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69,49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7D28D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544C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85,49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BBC901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44,99</w:t>
            </w:r>
          </w:p>
        </w:tc>
      </w:tr>
      <w:tr w:rsidR="004914DB" w:rsidRPr="00492420" w14:paraId="435D6A86" w14:textId="77777777" w:rsidTr="000859AC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94AD41A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19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Кворум</w:t>
              </w:r>
            </w:hyperlink>
          </w:p>
        </w:tc>
        <w:tc>
          <w:tcPr>
            <w:tcW w:w="0" w:type="auto"/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B7C34A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52CB9931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7C0C630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70,48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69801406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68,48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18D1C4B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85,98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4D835B96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44,98</w:t>
            </w:r>
          </w:p>
        </w:tc>
      </w:tr>
      <w:tr w:rsidR="004914DB" w:rsidRPr="00492420" w14:paraId="5665241F" w14:textId="77777777" w:rsidTr="000859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CC7922" w14:textId="77777777" w:rsidR="004914DB" w:rsidRPr="00492420" w:rsidRDefault="004914DB" w:rsidP="001D1AE6">
            <w:pPr>
              <w:spacing w:after="0" w:line="240" w:lineRule="auto"/>
              <w:ind w:left="-567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hyperlink r:id="rId20" w:history="1">
              <w:r w:rsidRPr="00492420">
                <w:rPr>
                  <w:rFonts w:ascii="Arial" w:eastAsia="Times New Roman" w:hAnsi="Arial" w:cs="Arial"/>
                  <w:color w:val="003399"/>
                  <w:sz w:val="24"/>
                  <w:szCs w:val="24"/>
                  <w:u w:val="single"/>
                  <w:lang w:val="uk-UA" w:eastAsia="uk-UA"/>
                </w:rPr>
                <w:t>ОККО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0011E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7A7CD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80,90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D3D63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77,90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8D79A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42A94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89,90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23E84" w14:textId="77777777" w:rsidR="004914DB" w:rsidRPr="00492420" w:rsidRDefault="004914DB" w:rsidP="001D1AE6">
            <w:pPr>
              <w:spacing w:after="0" w:line="240" w:lineRule="auto"/>
              <w:ind w:left="-567"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492420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uk-UA"/>
              </w:rPr>
              <w:t>48,90</w:t>
            </w:r>
          </w:p>
        </w:tc>
      </w:tr>
    </w:tbl>
    <w:p w14:paraId="01278EC2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FBF8FB" w14:textId="77777777" w:rsidR="00890871" w:rsidRPr="00492420" w:rsidRDefault="00890871" w:rsidP="00890871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ПРОЗОРРО ціни на ПММ на сьогодні в </w:t>
      </w:r>
      <w:proofErr w:type="spellStart"/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закупівлях</w:t>
      </w:r>
      <w:proofErr w:type="spellEnd"/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середньому складають на бензин  від  73,50 до 76,90 грн. (приклад  UA-2026-05-22-001807-a – 75,90 грн./л, UA-2026-05-22-000297-a – 75,90 грн/л), на дизельне паливо  від 81,00 до 88,00 грн/л (приклад  UA-2026-05-22-001870-a - 82,00 грн/л,   UA-2026-05-22-002022-a - 87,90 грн/л, UA-2026-05-22-001451-a – 87,08 грн/л.</w:t>
      </w:r>
    </w:p>
    <w:p w14:paraId="659C659E" w14:textId="65BA17E1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Для розрахунку</w:t>
      </w:r>
      <w:r w:rsidR="00890871" w:rsidRPr="0049242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орієнтуємось на ціни в області і</w:t>
      </w:r>
      <w:r w:rsidRPr="0049242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беремо середню вартість бензину</w:t>
      </w:r>
      <w:r w:rsidR="008F5B16" w:rsidRPr="0049242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</w:t>
      </w:r>
      <w:r w:rsidRPr="0049242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А-95     71,98 грн/л  та дизельного палива 85,46грн/л.</w:t>
      </w:r>
    </w:p>
    <w:p w14:paraId="3BF340A2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попередніх розрахунків вартість палива може становити біля 584 110 грн.</w:t>
      </w:r>
    </w:p>
    <w:p w14:paraId="7E034ACF" w14:textId="77777777" w:rsidR="004914DB" w:rsidRPr="00492420" w:rsidRDefault="004914DB" w:rsidP="001D1AE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Кошти на паливно-мастильні матеріали на поточний рік  виділені рішенням №10 від 19.12.2025  ХХХVІІ сесії </w:t>
      </w:r>
      <w:proofErr w:type="spellStart"/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Галицинівської</w:t>
      </w:r>
      <w:proofErr w:type="spellEnd"/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ради.</w:t>
      </w:r>
      <w:r w:rsidRPr="00492420">
        <w:rPr>
          <w:sz w:val="24"/>
          <w:szCs w:val="24"/>
          <w:lang w:val="uk-UA"/>
        </w:rPr>
        <w:t xml:space="preserve">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подання головного бухгалтера від 11.05.2026 проведено перерозподіл коштів та виділені гроші на ці цілі.</w:t>
      </w:r>
    </w:p>
    <w:p w14:paraId="30B4F277" w14:textId="393DA454" w:rsidR="00372491" w:rsidRPr="00492420" w:rsidRDefault="00372491" w:rsidP="0049242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отримання найбільш оптимальної ціни на 202</w:t>
      </w:r>
      <w:r w:rsidR="00545714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E3429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</w:t>
      </w:r>
      <w:r w:rsidR="00404670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проведення оперативної закупівлі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залучення до торгів </w:t>
      </w:r>
      <w:r w:rsidR="008F5B16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реальних 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постачальників  закупівлю  проводимо  шляхом</w:t>
      </w:r>
      <w:r w:rsidR="008F5B16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запиту </w:t>
      </w:r>
      <w:r w:rsidR="00404670"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ціни пропозицій</w:t>
      </w:r>
      <w:r w:rsidRPr="004924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8C69E04" w14:textId="77777777" w:rsidR="004D447B" w:rsidRPr="00492420" w:rsidRDefault="004D447B" w:rsidP="00492420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При закупівлі відповідно до </w:t>
      </w:r>
      <w:r w:rsidR="002310EE"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вимог цього </w:t>
      </w:r>
      <w:r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Закону </w:t>
      </w:r>
      <w:r w:rsidR="002310EE"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та Особливостей </w:t>
      </w:r>
      <w:r w:rsidRPr="00492420">
        <w:rPr>
          <w:rFonts w:ascii="Times New Roman" w:hAnsi="Times New Roman" w:cs="Times New Roman"/>
          <w:sz w:val="24"/>
          <w:szCs w:val="24"/>
          <w:lang w:val="uk-UA"/>
        </w:rPr>
        <w:t>дотриму</w:t>
      </w:r>
      <w:r w:rsidR="00426DBE"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ємся </w:t>
      </w:r>
      <w:r w:rsidRPr="00492420">
        <w:rPr>
          <w:rFonts w:ascii="Times New Roman" w:hAnsi="Times New Roman" w:cs="Times New Roman"/>
          <w:sz w:val="24"/>
          <w:szCs w:val="24"/>
          <w:lang w:val="uk-UA"/>
        </w:rPr>
        <w:t xml:space="preserve">принципів здійснення публічних </w:t>
      </w:r>
      <w:proofErr w:type="spellStart"/>
      <w:r w:rsidRPr="00492420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426DBE" w:rsidRPr="00492420">
        <w:rPr>
          <w:rFonts w:ascii="Times New Roman" w:hAnsi="Times New Roman" w:cs="Times New Roman"/>
          <w:sz w:val="24"/>
          <w:szCs w:val="24"/>
          <w:lang w:val="uk-UA"/>
        </w:rPr>
        <w:t>, максимальна економія коштів, ефективність та пропорційність,  запобігання корупційним діям і зловживанням.</w:t>
      </w:r>
    </w:p>
    <w:p w14:paraId="66A8D0AC" w14:textId="77777777" w:rsidR="00D412AC" w:rsidRPr="00492420" w:rsidRDefault="00D412AC" w:rsidP="0049242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3FE23C" w14:textId="0B898AB9" w:rsidR="00F67E8B" w:rsidRPr="00492420" w:rsidRDefault="00D412AC" w:rsidP="00492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firstLine="568"/>
        <w:jc w:val="both"/>
        <w:rPr>
          <w:color w:val="323232"/>
          <w:sz w:val="24"/>
          <w:szCs w:val="24"/>
          <w:shd w:val="clear" w:color="auto" w:fill="FFFFFF"/>
        </w:rPr>
      </w:pPr>
      <w:r w:rsidRPr="0049242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 w:eastAsia="uk-UA"/>
        </w:rPr>
        <w:t>З огляду на викладене, рішення замовника про проведення закупівлі відповідає чинному закон</w:t>
      </w:r>
      <w:r w:rsidRPr="004924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одавству.</w:t>
      </w:r>
    </w:p>
    <w:sectPr w:rsidR="00F67E8B" w:rsidRPr="00492420" w:rsidSect="002163E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72E89" w14:textId="77777777" w:rsidR="00851E42" w:rsidRDefault="00851E42" w:rsidP="00011140">
      <w:pPr>
        <w:spacing w:after="0" w:line="240" w:lineRule="auto"/>
      </w:pPr>
      <w:r>
        <w:separator/>
      </w:r>
    </w:p>
  </w:endnote>
  <w:endnote w:type="continuationSeparator" w:id="0">
    <w:p w14:paraId="1D8045E7" w14:textId="77777777" w:rsidR="00851E42" w:rsidRDefault="00851E42" w:rsidP="0001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B99C8" w14:textId="77777777" w:rsidR="00851E42" w:rsidRDefault="00851E42" w:rsidP="00011140">
      <w:pPr>
        <w:spacing w:after="0" w:line="240" w:lineRule="auto"/>
      </w:pPr>
      <w:r>
        <w:separator/>
      </w:r>
    </w:p>
  </w:footnote>
  <w:footnote w:type="continuationSeparator" w:id="0">
    <w:p w14:paraId="7AA87466" w14:textId="77777777" w:rsidR="00851E42" w:rsidRDefault="00851E42" w:rsidP="0001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C1"/>
    <w:rsid w:val="0000410D"/>
    <w:rsid w:val="00011140"/>
    <w:rsid w:val="0001295A"/>
    <w:rsid w:val="000236B1"/>
    <w:rsid w:val="00025785"/>
    <w:rsid w:val="000711FF"/>
    <w:rsid w:val="00082BBF"/>
    <w:rsid w:val="000A2BDD"/>
    <w:rsid w:val="000A42A6"/>
    <w:rsid w:val="000A72D4"/>
    <w:rsid w:val="000D455D"/>
    <w:rsid w:val="000D6A9E"/>
    <w:rsid w:val="000E0A0D"/>
    <w:rsid w:val="000E1D62"/>
    <w:rsid w:val="000F069D"/>
    <w:rsid w:val="000F381F"/>
    <w:rsid w:val="001116E7"/>
    <w:rsid w:val="00114804"/>
    <w:rsid w:val="00123618"/>
    <w:rsid w:val="00124513"/>
    <w:rsid w:val="0014234C"/>
    <w:rsid w:val="00163CA4"/>
    <w:rsid w:val="00167200"/>
    <w:rsid w:val="001871A7"/>
    <w:rsid w:val="0018793F"/>
    <w:rsid w:val="001957E1"/>
    <w:rsid w:val="001A196A"/>
    <w:rsid w:val="001A65AF"/>
    <w:rsid w:val="001B1DD3"/>
    <w:rsid w:val="001B6186"/>
    <w:rsid w:val="001D1AE6"/>
    <w:rsid w:val="001D1BA4"/>
    <w:rsid w:val="001D2544"/>
    <w:rsid w:val="001F1B71"/>
    <w:rsid w:val="001F5919"/>
    <w:rsid w:val="001F63B1"/>
    <w:rsid w:val="002163E3"/>
    <w:rsid w:val="00220445"/>
    <w:rsid w:val="002301DF"/>
    <w:rsid w:val="002310EE"/>
    <w:rsid w:val="00235E29"/>
    <w:rsid w:val="0023675D"/>
    <w:rsid w:val="00247987"/>
    <w:rsid w:val="00286061"/>
    <w:rsid w:val="0029482B"/>
    <w:rsid w:val="00294FE8"/>
    <w:rsid w:val="002A6568"/>
    <w:rsid w:val="002B2EB5"/>
    <w:rsid w:val="002C1116"/>
    <w:rsid w:val="002E3429"/>
    <w:rsid w:val="002E361D"/>
    <w:rsid w:val="002E670F"/>
    <w:rsid w:val="002F3B86"/>
    <w:rsid w:val="003209CD"/>
    <w:rsid w:val="00357109"/>
    <w:rsid w:val="00365C9E"/>
    <w:rsid w:val="00372491"/>
    <w:rsid w:val="003A3F2A"/>
    <w:rsid w:val="003B563F"/>
    <w:rsid w:val="003B6866"/>
    <w:rsid w:val="003C4806"/>
    <w:rsid w:val="003C7905"/>
    <w:rsid w:val="003D43F5"/>
    <w:rsid w:val="003D5530"/>
    <w:rsid w:val="00404670"/>
    <w:rsid w:val="0042394A"/>
    <w:rsid w:val="00426DBE"/>
    <w:rsid w:val="00427838"/>
    <w:rsid w:val="00427B09"/>
    <w:rsid w:val="004451E9"/>
    <w:rsid w:val="00446C7B"/>
    <w:rsid w:val="00465245"/>
    <w:rsid w:val="004725CE"/>
    <w:rsid w:val="00472CE6"/>
    <w:rsid w:val="004914DB"/>
    <w:rsid w:val="00492420"/>
    <w:rsid w:val="00494BE8"/>
    <w:rsid w:val="004A3E3D"/>
    <w:rsid w:val="004A74A7"/>
    <w:rsid w:val="004A7DCA"/>
    <w:rsid w:val="004B706C"/>
    <w:rsid w:val="004D447B"/>
    <w:rsid w:val="004D4732"/>
    <w:rsid w:val="004E1D9E"/>
    <w:rsid w:val="004E5D74"/>
    <w:rsid w:val="004E6602"/>
    <w:rsid w:val="004F10EB"/>
    <w:rsid w:val="004F57D8"/>
    <w:rsid w:val="004F5E0C"/>
    <w:rsid w:val="0051376B"/>
    <w:rsid w:val="00515EFB"/>
    <w:rsid w:val="00524623"/>
    <w:rsid w:val="00527EBA"/>
    <w:rsid w:val="005352B8"/>
    <w:rsid w:val="00545714"/>
    <w:rsid w:val="00582242"/>
    <w:rsid w:val="00582D7C"/>
    <w:rsid w:val="005958AD"/>
    <w:rsid w:val="005A3289"/>
    <w:rsid w:val="005A7523"/>
    <w:rsid w:val="005C0356"/>
    <w:rsid w:val="005C4171"/>
    <w:rsid w:val="005D0F5F"/>
    <w:rsid w:val="005E03CC"/>
    <w:rsid w:val="005E188C"/>
    <w:rsid w:val="00602336"/>
    <w:rsid w:val="0060375E"/>
    <w:rsid w:val="00606152"/>
    <w:rsid w:val="00652228"/>
    <w:rsid w:val="006607C6"/>
    <w:rsid w:val="00660E0E"/>
    <w:rsid w:val="00663C73"/>
    <w:rsid w:val="00671EC1"/>
    <w:rsid w:val="00687B1A"/>
    <w:rsid w:val="006A5D08"/>
    <w:rsid w:val="006B2673"/>
    <w:rsid w:val="006D5F8B"/>
    <w:rsid w:val="006F0E25"/>
    <w:rsid w:val="00724BF0"/>
    <w:rsid w:val="007308ED"/>
    <w:rsid w:val="007314C9"/>
    <w:rsid w:val="007344F8"/>
    <w:rsid w:val="0073567D"/>
    <w:rsid w:val="00736684"/>
    <w:rsid w:val="00737F41"/>
    <w:rsid w:val="007455D1"/>
    <w:rsid w:val="007528EA"/>
    <w:rsid w:val="0075584B"/>
    <w:rsid w:val="007914C1"/>
    <w:rsid w:val="007A4E9D"/>
    <w:rsid w:val="007B78B3"/>
    <w:rsid w:val="007C2E23"/>
    <w:rsid w:val="007C43D8"/>
    <w:rsid w:val="007C5B20"/>
    <w:rsid w:val="007D3B75"/>
    <w:rsid w:val="007D6B65"/>
    <w:rsid w:val="007D78D4"/>
    <w:rsid w:val="007F5E5E"/>
    <w:rsid w:val="00801C01"/>
    <w:rsid w:val="00815E52"/>
    <w:rsid w:val="00840530"/>
    <w:rsid w:val="00840EE7"/>
    <w:rsid w:val="00851E42"/>
    <w:rsid w:val="00890871"/>
    <w:rsid w:val="008A385A"/>
    <w:rsid w:val="008A588F"/>
    <w:rsid w:val="008B69FB"/>
    <w:rsid w:val="008C35E0"/>
    <w:rsid w:val="008D190F"/>
    <w:rsid w:val="008D7E5E"/>
    <w:rsid w:val="008E49B3"/>
    <w:rsid w:val="008E4EDB"/>
    <w:rsid w:val="008E7C86"/>
    <w:rsid w:val="008F5B16"/>
    <w:rsid w:val="009100BC"/>
    <w:rsid w:val="00921363"/>
    <w:rsid w:val="009276A6"/>
    <w:rsid w:val="00952711"/>
    <w:rsid w:val="00952C5D"/>
    <w:rsid w:val="00956537"/>
    <w:rsid w:val="00963F98"/>
    <w:rsid w:val="009663D1"/>
    <w:rsid w:val="00972CD0"/>
    <w:rsid w:val="009A2B46"/>
    <w:rsid w:val="009A452F"/>
    <w:rsid w:val="009A7F2E"/>
    <w:rsid w:val="009B685E"/>
    <w:rsid w:val="009E1457"/>
    <w:rsid w:val="009E198F"/>
    <w:rsid w:val="009E5BB0"/>
    <w:rsid w:val="009E6DAE"/>
    <w:rsid w:val="009E7EAC"/>
    <w:rsid w:val="00A1202B"/>
    <w:rsid w:val="00A1454B"/>
    <w:rsid w:val="00A208FC"/>
    <w:rsid w:val="00A2120D"/>
    <w:rsid w:val="00A502EA"/>
    <w:rsid w:val="00A86DCF"/>
    <w:rsid w:val="00A95B99"/>
    <w:rsid w:val="00AB579F"/>
    <w:rsid w:val="00AD010E"/>
    <w:rsid w:val="00AD7045"/>
    <w:rsid w:val="00B05238"/>
    <w:rsid w:val="00B11C4B"/>
    <w:rsid w:val="00B130E5"/>
    <w:rsid w:val="00B15789"/>
    <w:rsid w:val="00B36971"/>
    <w:rsid w:val="00B43F32"/>
    <w:rsid w:val="00B77C8B"/>
    <w:rsid w:val="00B9644D"/>
    <w:rsid w:val="00B978BC"/>
    <w:rsid w:val="00BA0C86"/>
    <w:rsid w:val="00BA5C39"/>
    <w:rsid w:val="00BA7B3F"/>
    <w:rsid w:val="00BC16F6"/>
    <w:rsid w:val="00BC4169"/>
    <w:rsid w:val="00BD3B0A"/>
    <w:rsid w:val="00BE4B8C"/>
    <w:rsid w:val="00C02F87"/>
    <w:rsid w:val="00C25081"/>
    <w:rsid w:val="00C30149"/>
    <w:rsid w:val="00C433A0"/>
    <w:rsid w:val="00C5648B"/>
    <w:rsid w:val="00CC2428"/>
    <w:rsid w:val="00CD4C4D"/>
    <w:rsid w:val="00CE14CF"/>
    <w:rsid w:val="00CE1D98"/>
    <w:rsid w:val="00D02707"/>
    <w:rsid w:val="00D3679F"/>
    <w:rsid w:val="00D36A7E"/>
    <w:rsid w:val="00D412AC"/>
    <w:rsid w:val="00D460BB"/>
    <w:rsid w:val="00D55421"/>
    <w:rsid w:val="00D56869"/>
    <w:rsid w:val="00D633C9"/>
    <w:rsid w:val="00D76338"/>
    <w:rsid w:val="00D902A5"/>
    <w:rsid w:val="00DF6783"/>
    <w:rsid w:val="00E03F0D"/>
    <w:rsid w:val="00E27BC1"/>
    <w:rsid w:val="00E35E11"/>
    <w:rsid w:val="00E362F2"/>
    <w:rsid w:val="00E93DE7"/>
    <w:rsid w:val="00EA3C38"/>
    <w:rsid w:val="00EB09E0"/>
    <w:rsid w:val="00EB7F58"/>
    <w:rsid w:val="00EC170A"/>
    <w:rsid w:val="00EC40E2"/>
    <w:rsid w:val="00ED3022"/>
    <w:rsid w:val="00EF2297"/>
    <w:rsid w:val="00F01B5F"/>
    <w:rsid w:val="00F03C2D"/>
    <w:rsid w:val="00F06C9F"/>
    <w:rsid w:val="00F14C5A"/>
    <w:rsid w:val="00F16DBF"/>
    <w:rsid w:val="00F220BD"/>
    <w:rsid w:val="00F251FA"/>
    <w:rsid w:val="00F33F1E"/>
    <w:rsid w:val="00F40715"/>
    <w:rsid w:val="00F45ABC"/>
    <w:rsid w:val="00F67E8B"/>
    <w:rsid w:val="00F72BAA"/>
    <w:rsid w:val="00FB228A"/>
    <w:rsid w:val="00FB39EB"/>
    <w:rsid w:val="00FE4EE3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324B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1140"/>
  </w:style>
  <w:style w:type="paragraph" w:styleId="ac">
    <w:name w:val="footer"/>
    <w:basedOn w:val="a"/>
    <w:link w:val="ad"/>
    <w:uiPriority w:val="99"/>
    <w:unhideWhenUsed/>
    <w:rsid w:val="0001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minfin.com.ua/ua/markets/fuel/reg/nikolaevskaya/?sort=a96" TargetMode="External"/><Relationship Id="rId13" Type="http://schemas.openxmlformats.org/officeDocument/2006/relationships/hyperlink" Target="https://index.minfin.com.ua/ua/markets/fuel/tm/amic/" TargetMode="External"/><Relationship Id="rId18" Type="http://schemas.openxmlformats.org/officeDocument/2006/relationships/hyperlink" Target="https://index.minfin.com.ua/ua/markets/fuel/tm/brsmnaft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dex.minfin.com.ua/ua/markets/fuel/reg/nikolaevskaya/?sort=lpg" TargetMode="External"/><Relationship Id="rId17" Type="http://schemas.openxmlformats.org/officeDocument/2006/relationships/hyperlink" Target="https://index.minfin.com.ua/ua/markets/fuel/tm/w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dex.minfin.com.ua/ua/markets/fuel/tm/upg/" TargetMode="External"/><Relationship Id="rId20" Type="http://schemas.openxmlformats.org/officeDocument/2006/relationships/hyperlink" Target="https://index.minfin.com.ua/ua/markets/fuel/tm/okk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ex.minfin.com.ua/ua/markets/fuel/reg/nikolaevskaya/?sort=d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dex.minfin.com.ua/ua/markets/fuel/tm/ukrnafta/" TargetMode="External"/><Relationship Id="rId10" Type="http://schemas.openxmlformats.org/officeDocument/2006/relationships/hyperlink" Target="https://index.minfin.com.ua/ua/markets/fuel/reg/nikolaevskaya/?sort=a92" TargetMode="External"/><Relationship Id="rId19" Type="http://schemas.openxmlformats.org/officeDocument/2006/relationships/hyperlink" Target="https://index.minfin.com.ua/ua/markets/fuel/tm/kvoru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dex.minfin.com.ua/ua/markets/fuel/reg/nikolaevskaya/?sort=a95" TargetMode="External"/><Relationship Id="rId14" Type="http://schemas.openxmlformats.org/officeDocument/2006/relationships/hyperlink" Target="https://index.minfin.com.ua/ua/markets/fuel/tm/soca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AD14-816F-4144-A0BA-5015AE96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6408</Words>
  <Characters>3653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Галицинівська ОТГ</dc:creator>
  <cp:lastModifiedBy>ADMINI-PC</cp:lastModifiedBy>
  <cp:revision>3</cp:revision>
  <cp:lastPrinted>2025-01-27T06:18:00Z</cp:lastPrinted>
  <dcterms:created xsi:type="dcterms:W3CDTF">2026-05-22T06:53:00Z</dcterms:created>
  <dcterms:modified xsi:type="dcterms:W3CDTF">2026-05-22T07:25:00Z</dcterms:modified>
</cp:coreProperties>
</file>