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Оренда автомобільного </w:t>
      </w:r>
      <w:proofErr w:type="spellStart"/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>малотонажного</w:t>
      </w:r>
      <w:proofErr w:type="spellEnd"/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транспорту з водіями та паливно-мастильними матеріалами для</w:t>
      </w:r>
      <w:r w:rsidRPr="006F6C7A">
        <w:rPr>
          <w:sz w:val="26"/>
          <w:szCs w:val="26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доставки гуманітарних вантажів, надання допомоги населенню, тощо.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FC6021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6021" w:rsidRPr="00FC6021">
        <w:rPr>
          <w:rFonts w:ascii="Times New Roman" w:hAnsi="Times New Roman" w:cs="Times New Roman"/>
          <w:sz w:val="26"/>
          <w:szCs w:val="26"/>
          <w:lang w:val="uk-UA"/>
        </w:rPr>
        <w:t>UA-2024-03-14-001627-a</w:t>
      </w:r>
      <w:r w:rsidR="00FC602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C6021" w:rsidRPr="00FC6021">
        <w:rPr>
          <w:rFonts w:ascii="Times New Roman" w:hAnsi="Times New Roman" w:cs="Times New Roman"/>
          <w:sz w:val="26"/>
          <w:szCs w:val="26"/>
          <w:lang w:val="uk-UA"/>
        </w:rPr>
        <w:t>UA-2024-03-14-002556-a</w:t>
      </w:r>
    </w:p>
    <w:p w:rsidR="00FC6021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FC6021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C6021" w:rsidRPr="00FC6021">
        <w:rPr>
          <w:rFonts w:ascii="Times New Roman" w:hAnsi="Times New Roman" w:cs="Times New Roman"/>
          <w:sz w:val="26"/>
          <w:szCs w:val="26"/>
          <w:lang w:val="uk-UA"/>
        </w:rPr>
        <w:t>Послуги з встановлення та визначення координат та меж населених пунктів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C6021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="00FC6021" w:rsidRPr="00FC6021">
        <w:rPr>
          <w:rFonts w:ascii="Times New Roman" w:hAnsi="Times New Roman" w:cs="Times New Roman"/>
          <w:sz w:val="26"/>
          <w:szCs w:val="26"/>
          <w:lang w:val="uk-UA"/>
        </w:rPr>
        <w:t>ДК 021:2015: 71355000-1 Геодезичні послуги</w:t>
      </w:r>
      <w:r w:rsidR="00FC6021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A65AF" w:rsidRPr="006F6C7A" w:rsidRDefault="00FC6021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FC6021">
        <w:rPr>
          <w:rFonts w:ascii="Times New Roman" w:hAnsi="Times New Roman" w:cs="Times New Roman"/>
          <w:sz w:val="26"/>
          <w:szCs w:val="26"/>
          <w:lang w:val="uk-UA"/>
        </w:rPr>
        <w:t>Послуги створення електронного документа про межі населених пунктів з внесенням їх до Державного земельного кадастру України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за </w:t>
      </w:r>
      <w:r w:rsidRPr="00FC6021">
        <w:rPr>
          <w:rFonts w:ascii="Times New Roman" w:hAnsi="Times New Roman" w:cs="Times New Roman"/>
          <w:sz w:val="26"/>
          <w:szCs w:val="26"/>
          <w:lang w:val="uk-UA"/>
        </w:rPr>
        <w:t>ДК 021:2015: 70332100-8 Послуги з управління земельними ресурсами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A65AF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Термін дії </w:t>
      </w:r>
      <w:r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</w:t>
      </w:r>
      <w:r w:rsidR="00FC6021">
        <w:rPr>
          <w:rFonts w:ascii="Times New Roman" w:hAnsi="Times New Roman" w:cs="Times New Roman"/>
          <w:b/>
          <w:sz w:val="26"/>
          <w:szCs w:val="26"/>
          <w:lang w:val="uk-UA"/>
        </w:rPr>
        <w:t>ів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37DCC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6021" w:rsidRPr="006F6C7A" w:rsidRDefault="00FC6021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B43A63" w:rsidRDefault="00B43A63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3A63" w:rsidRPr="00B43A63" w:rsidRDefault="00B43A63" w:rsidP="00B4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На даний час </w:t>
      </w:r>
      <w:r w:rsidR="00D049A3" w:rsidRPr="00B43A63">
        <w:rPr>
          <w:rFonts w:ascii="Times New Roman" w:hAnsi="Times New Roman" w:cs="Times New Roman"/>
          <w:sz w:val="26"/>
          <w:szCs w:val="26"/>
          <w:lang w:val="uk-UA"/>
        </w:rPr>
        <w:t>чітко</w:t>
      </w:r>
      <w:r w:rsidR="00D049A3"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43A63">
        <w:rPr>
          <w:rFonts w:ascii="Times New Roman" w:hAnsi="Times New Roman" w:cs="Times New Roman"/>
          <w:sz w:val="26"/>
          <w:szCs w:val="26"/>
          <w:lang w:val="uk-UA"/>
        </w:rPr>
        <w:t>не визначені межі та координати населених пунктів Галицинове, Ли</w:t>
      </w:r>
      <w:r w:rsidR="00D049A3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ани, </w:t>
      </w:r>
      <w:proofErr w:type="spellStart"/>
      <w:r w:rsidRPr="00B43A63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B43A63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B43A63">
        <w:rPr>
          <w:rFonts w:ascii="Times New Roman" w:hAnsi="Times New Roman" w:cs="Times New Roman"/>
          <w:sz w:val="26"/>
          <w:szCs w:val="26"/>
          <w:lang w:val="uk-UA"/>
        </w:rPr>
        <w:t>, Українка, Степова Долина. Галицинівська сільська  громада  для подальшого розвитку потребує створення електронн</w:t>
      </w:r>
      <w:r w:rsidR="00D049A3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 документ</w:t>
      </w:r>
      <w:r w:rsidR="00D049A3">
        <w:rPr>
          <w:rFonts w:ascii="Times New Roman" w:hAnsi="Times New Roman" w:cs="Times New Roman"/>
          <w:sz w:val="26"/>
          <w:szCs w:val="26"/>
          <w:lang w:val="uk-UA"/>
        </w:rPr>
        <w:t>ів щодо</w:t>
      </w:r>
      <w:r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 меж населених пунктів з внесенням їх до Державного земельного кадастру України.</w:t>
      </w:r>
    </w:p>
    <w:p w:rsidR="00A6036A" w:rsidRDefault="00B43A63" w:rsidP="00B4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3A63">
        <w:rPr>
          <w:rFonts w:ascii="Times New Roman" w:hAnsi="Times New Roman" w:cs="Times New Roman"/>
          <w:sz w:val="26"/>
          <w:szCs w:val="26"/>
          <w:lang w:val="uk-UA"/>
        </w:rPr>
        <w:t>Положеннями З</w:t>
      </w:r>
      <w:r w:rsidR="00A6036A">
        <w:rPr>
          <w:rFonts w:ascii="Times New Roman" w:hAnsi="Times New Roman" w:cs="Times New Roman"/>
          <w:sz w:val="26"/>
          <w:szCs w:val="26"/>
          <w:lang w:val="uk-UA"/>
        </w:rPr>
        <w:t xml:space="preserve">акону </w:t>
      </w:r>
      <w:r w:rsidRPr="00B43A6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6036A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 «Про  внесення змін  до деяких законодавчих  актів України щодо планування використання земель» від 17.06.2020 встановлено, що  сільським радам  слід забезпечити внесення до 1 січня 2025 року  до Державного земельного кадастру відомостей про</w:t>
      </w:r>
      <w:r w:rsidR="00A6036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6036A" w:rsidRDefault="00A6036A" w:rsidP="00B4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43A63"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 функціональні зони територій, визначені у містобудівній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місцевому рівні;</w:t>
      </w:r>
    </w:p>
    <w:p w:rsidR="00A6036A" w:rsidRDefault="00A6036A" w:rsidP="00B4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межі територій пам’яток, історико-культурних заповідників, історичних ареалів населених пунктів;</w:t>
      </w:r>
    </w:p>
    <w:p w:rsidR="00B43A63" w:rsidRDefault="00A6036A" w:rsidP="00B4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43A63" w:rsidRPr="00B43A63">
        <w:rPr>
          <w:rFonts w:ascii="Times New Roman" w:hAnsi="Times New Roman" w:cs="Times New Roman"/>
          <w:sz w:val="26"/>
          <w:szCs w:val="26"/>
          <w:lang w:val="uk-UA"/>
        </w:rPr>
        <w:t xml:space="preserve"> обмежування у використанні земель у  сфері забудови.</w:t>
      </w:r>
    </w:p>
    <w:p w:rsidR="00A6036A" w:rsidRPr="00B43A63" w:rsidRDefault="00A6036A" w:rsidP="00B4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Пунктом  97-1Порядку ведення </w:t>
      </w:r>
      <w:r w:rsidRPr="00A6036A">
        <w:rPr>
          <w:rFonts w:ascii="Times New Roman" w:hAnsi="Times New Roman" w:cs="Times New Roman"/>
          <w:sz w:val="26"/>
          <w:szCs w:val="26"/>
          <w:lang w:val="uk-UA"/>
        </w:rPr>
        <w:t>Державного земельного кадастру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затвердженого  Постановою КМУ від 17.10.2021 №1051 визначено, що відомості про межі  функціональних зон вносяться до </w:t>
      </w:r>
      <w:r w:rsidRPr="00A6036A">
        <w:rPr>
          <w:rFonts w:ascii="Times New Roman" w:hAnsi="Times New Roman" w:cs="Times New Roman"/>
          <w:sz w:val="26"/>
          <w:szCs w:val="26"/>
          <w:lang w:val="uk-UA"/>
        </w:rPr>
        <w:t>Державного земельного кадастру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</w:p>
    <w:p w:rsidR="00A6036A" w:rsidRPr="006F6C7A" w:rsidRDefault="00A6036A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03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зв’язку з зазначеним в 2024 році Галицинівська сільська рада  потребує   надання послуг в встановлені меж населених пунктів та внесення їх до Державного земельного кадастру. Місцевим бюджетом визначено виділення кошті на дані послуги до 200 тис. грн.</w:t>
      </w:r>
    </w:p>
    <w:p w:rsidR="009B0787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 урахуванням потреб замовника в послугах </w:t>
      </w:r>
      <w:r w:rsidR="009F16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передбачено рішенням сесії замовити п</w:t>
      </w:r>
      <w:r w:rsidR="009F16BC" w:rsidRPr="009F16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ослуги з встановлення та визначення координат та меж населених пунктів</w:t>
      </w:r>
      <w:r w:rsidR="009F16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п</w:t>
      </w:r>
      <w:r w:rsidR="009F16BC" w:rsidRPr="009F16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ослуги створення електронного документа про межі населених пунктів з внесенням їх до Державного земельного кадастру України</w:t>
      </w:r>
      <w:r w:rsidR="009F16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9F16BC" w:rsidRDefault="009F16BC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цією метою передбачено  виконати інженерно-вишукувальні геодезичні роботи з метою встановлення координат та меж вищезазначених  населених пунктів</w:t>
      </w:r>
      <w:r w:rsidR="00AC11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(вартість робіт 99 900 грн.) та  ввести земельно-кадастрову інформацію на магнітні носії про межі функціональних зон (вартість 99 970 грн.). Вартість  послуг розраховувалась на підставі збірника цін на  </w:t>
      </w:r>
      <w:proofErr w:type="spellStart"/>
      <w:r w:rsidR="00AC11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proofErr w:type="spellEnd"/>
      <w:r w:rsidR="00AC11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проектні та вишукувальні роботи.</w:t>
      </w:r>
    </w:p>
    <w:p w:rsidR="004D447B" w:rsidRPr="00AC1190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26DBE" w:rsidRPr="006F6C7A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Виконавцем послуг вибрано: </w:t>
      </w:r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ФОП  </w:t>
      </w:r>
      <w:proofErr w:type="spellStart"/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>Поляницю</w:t>
      </w:r>
      <w:proofErr w:type="spellEnd"/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 Юлію Валентинівну </w:t>
      </w:r>
      <w:r w:rsidR="00EC170A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(ЄДРПОУ – </w:t>
      </w:r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>2803905569</w:t>
      </w:r>
      <w:r w:rsidR="00EC170A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м. Миколаїв, вул. </w:t>
      </w:r>
      <w:proofErr w:type="spellStart"/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>Потьомкінська</w:t>
      </w:r>
      <w:proofErr w:type="spellEnd"/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, 131, </w:t>
      </w:r>
      <w:proofErr w:type="spellStart"/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>кв</w:t>
      </w:r>
      <w:proofErr w:type="spellEnd"/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>. 342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).    Технічні та якісні характеристики предмет</w:t>
      </w:r>
      <w:r w:rsidR="00AC1190">
        <w:rPr>
          <w:rFonts w:ascii="Times New Roman" w:hAnsi="Times New Roman" w:cs="Times New Roman"/>
          <w:sz w:val="26"/>
          <w:szCs w:val="26"/>
          <w:lang w:val="uk-UA"/>
        </w:rPr>
        <w:t>а</w:t>
      </w:r>
      <w:bookmarkStart w:id="0" w:name="_GoBack"/>
      <w:bookmarkEnd w:id="0"/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>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37DCC"/>
    <w:rsid w:val="0014234C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3529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133AC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E33A8"/>
    <w:rsid w:val="009E5BB0"/>
    <w:rsid w:val="009E6DAE"/>
    <w:rsid w:val="009E7EAC"/>
    <w:rsid w:val="009F16BC"/>
    <w:rsid w:val="00A1202B"/>
    <w:rsid w:val="00A1454B"/>
    <w:rsid w:val="00A2120D"/>
    <w:rsid w:val="00A6036A"/>
    <w:rsid w:val="00A86DCF"/>
    <w:rsid w:val="00AB579F"/>
    <w:rsid w:val="00AC1190"/>
    <w:rsid w:val="00AD010E"/>
    <w:rsid w:val="00AD7045"/>
    <w:rsid w:val="00B10DA8"/>
    <w:rsid w:val="00B11C4B"/>
    <w:rsid w:val="00B36971"/>
    <w:rsid w:val="00B43A63"/>
    <w:rsid w:val="00B6728B"/>
    <w:rsid w:val="00B77099"/>
    <w:rsid w:val="00B95318"/>
    <w:rsid w:val="00B978BC"/>
    <w:rsid w:val="00BA0C86"/>
    <w:rsid w:val="00BA5C39"/>
    <w:rsid w:val="00BD28FE"/>
    <w:rsid w:val="00BD3B0A"/>
    <w:rsid w:val="00C5648B"/>
    <w:rsid w:val="00CA37EA"/>
    <w:rsid w:val="00CC2428"/>
    <w:rsid w:val="00CD4C4D"/>
    <w:rsid w:val="00CE14CF"/>
    <w:rsid w:val="00CE1D98"/>
    <w:rsid w:val="00D02707"/>
    <w:rsid w:val="00D049A3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B228A"/>
    <w:rsid w:val="00FC602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A8B4-C726-4E29-B2B2-4619F9C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6</cp:revision>
  <cp:lastPrinted>2022-06-22T10:56:00Z</cp:lastPrinted>
  <dcterms:created xsi:type="dcterms:W3CDTF">2024-03-14T09:43:00Z</dcterms:created>
  <dcterms:modified xsi:type="dcterms:W3CDTF">2024-03-14T13:13:00Z</dcterms:modified>
</cp:coreProperties>
</file>